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5C365A">
      <w:pPr>
        <w:jc w:val="center"/>
        <w:rPr>
          <w:lang w:val="sr-Latn-CS"/>
        </w:rPr>
      </w:pPr>
      <w:r w:rsidRPr="005C365A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794C60" w:rsidRDefault="00E91132" w:rsidP="00794C60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822C62" w:rsidRPr="00A06B01" w:rsidRDefault="00822C62" w:rsidP="00822C62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581A83">
        <w:rPr>
          <w:lang w:val="sr-Latn-CS"/>
        </w:rPr>
        <w:t xml:space="preserve"> </w:t>
      </w:r>
      <w:r w:rsidRPr="005A6E85">
        <w:rPr>
          <w:rFonts w:cs="Arial"/>
          <w:sz w:val="24"/>
          <w:szCs w:val="24"/>
          <w:lang w:val="sr-Latn-CS"/>
        </w:rPr>
        <w:t>МЕДИЦИНСКА СТАТИСТИКА И ИНФОРМАТИКА</w:t>
      </w:r>
      <w:r>
        <w:rPr>
          <w:rFonts w:cs="Arial"/>
          <w:sz w:val="24"/>
          <w:szCs w:val="24"/>
          <w:lang w:val="sr-Latn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4B12F0" w:rsidRDefault="002D3376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4B12F0">
        <w:rPr>
          <w:sz w:val="24"/>
          <w:szCs w:val="24"/>
          <w:lang w:val="en-US"/>
        </w:rPr>
        <w:t>9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6A3BD2" w:rsidRPr="006A3BD2">
        <w:rPr>
          <w:b/>
          <w:sz w:val="28"/>
          <w:szCs w:val="28"/>
          <w:lang w:val="sr-Latn-CS"/>
        </w:rPr>
        <w:t>СУМИРАЊЕ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571300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300" w:rsidRPr="004B12F0" w:rsidRDefault="004B12F0" w:rsidP="006D693E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300" w:rsidRPr="00571300" w:rsidRDefault="00571300" w:rsidP="00571300">
            <w:pPr>
              <w:snapToGrid w:val="0"/>
              <w:jc w:val="left"/>
              <w:rPr>
                <w:rFonts w:cs="Arial"/>
                <w:lang w:val="sr-Cyrl-CS"/>
              </w:rPr>
            </w:pPr>
            <w:r w:rsidRPr="00571300">
              <w:rPr>
                <w:rFonts w:cs="Arial"/>
                <w:lang w:val="sr-Cyrl-CS"/>
              </w:rPr>
              <w:t>Сумирање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300" w:rsidRPr="00A07E48" w:rsidRDefault="00571300" w:rsidP="00571300">
            <w:pPr>
              <w:autoSpaceDE w:val="0"/>
              <w:snapToGrid w:val="0"/>
              <w:jc w:val="left"/>
              <w:rPr>
                <w:lang w:val="sr-Cyrl-CS"/>
              </w:rPr>
            </w:pPr>
            <w:r w:rsidRPr="00581A83">
              <w:rPr>
                <w:lang w:val="sr-Cyrl-CS"/>
              </w:rPr>
              <w:t>Облици расподеле учесталост</w:t>
            </w:r>
            <w:r w:rsidRPr="00571300">
              <w:rPr>
                <w:lang w:val="sr-Cyrl-CS"/>
              </w:rPr>
              <w:t>и.</w:t>
            </w:r>
            <w:r w:rsidRPr="00581A83">
              <w:rPr>
                <w:lang w:val="sr-Cyrl-CS"/>
              </w:rPr>
              <w:t xml:space="preserve"> </w:t>
            </w:r>
            <w:r w:rsidR="00A43EBA" w:rsidRPr="00A43EBA">
              <w:rPr>
                <w:lang w:val="sr-Cyrl-CS"/>
              </w:rPr>
              <w:t>Медијане и квантили</w:t>
            </w:r>
            <w:r w:rsidR="00A07E48">
              <w:rPr>
                <w:lang w:val="sr-Cyrl-CS"/>
              </w:rPr>
              <w:t xml:space="preserve">. </w:t>
            </w:r>
            <w:r w:rsidR="00A07E48" w:rsidRPr="00A07E48">
              <w:rPr>
                <w:lang w:val="sr-Cyrl-CS"/>
              </w:rPr>
              <w:t>Средина</w:t>
            </w:r>
            <w:r w:rsidR="00A07E48">
              <w:rPr>
                <w:lang w:val="sr-Cyrl-CS"/>
              </w:rPr>
              <w:t xml:space="preserve">. </w:t>
            </w:r>
            <w:r w:rsidR="00A07E48" w:rsidRPr="00A07E48">
              <w:rPr>
                <w:lang w:val="sr-Cyrl-CS"/>
              </w:rPr>
              <w:t>Варијанса, опсег и опсег међуквартила</w:t>
            </w:r>
            <w:r w:rsidR="00A07E48">
              <w:rPr>
                <w:lang w:val="sr-Cyrl-CS"/>
              </w:rPr>
              <w:t xml:space="preserve">. </w:t>
            </w:r>
            <w:r w:rsidR="00A07E48" w:rsidRPr="00A07E48">
              <w:rPr>
                <w:lang w:val="sr-Cyrl-CS"/>
              </w:rPr>
              <w:t>Стандардно одступање</w:t>
            </w:r>
            <w:r w:rsidR="004C2960">
              <w:rPr>
                <w:lang w:val="sr-Cyrl-CS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300" w:rsidRPr="00571300" w:rsidRDefault="00571300" w:rsidP="00571300">
            <w:pPr>
              <w:autoSpaceDE w:val="0"/>
              <w:snapToGrid w:val="0"/>
              <w:jc w:val="left"/>
              <w:rPr>
                <w:rFonts w:cs="Arial"/>
                <w:lang w:val="sr-Cyrl-CS"/>
              </w:rPr>
            </w:pPr>
            <w:bookmarkStart w:id="0" w:name="OLE_LINK3"/>
            <w:bookmarkStart w:id="1" w:name="OLE_LINK4"/>
            <w:r w:rsidRPr="00571300">
              <w:rPr>
                <w:lang w:val="sr-Cyrl-CS"/>
              </w:rPr>
              <w:t>Упознавање са различитим врстама података и њиховим сумирањем</w:t>
            </w:r>
            <w:r w:rsidR="00A43EBA">
              <w:rPr>
                <w:lang w:val="sr-Cyrl-CS"/>
              </w:rPr>
              <w:t>.</w:t>
            </w:r>
            <w:bookmarkEnd w:id="0"/>
            <w:bookmarkEnd w:id="1"/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E302CC" w:rsidRDefault="00E302CC">
      <w:pPr>
        <w:jc w:val="center"/>
        <w:rPr>
          <w:b/>
          <w:sz w:val="24"/>
          <w:szCs w:val="24"/>
          <w:lang w:val="sr-Cyrl-CS"/>
        </w:rPr>
      </w:pPr>
    </w:p>
    <w:p w:rsidR="00E302CC" w:rsidRDefault="00E302CC">
      <w:pPr>
        <w:jc w:val="center"/>
        <w:rPr>
          <w:b/>
          <w:sz w:val="24"/>
          <w:szCs w:val="24"/>
          <w:lang w:val="sr-Latn-CS"/>
        </w:rPr>
      </w:pPr>
    </w:p>
    <w:p w:rsidR="00114D41" w:rsidRDefault="00114D41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7D6BB6" w:rsidRPr="00A06B01" w:rsidRDefault="007D6BB6" w:rsidP="007D6BB6">
      <w:pPr>
        <w:rPr>
          <w:sz w:val="16"/>
          <w:szCs w:val="16"/>
          <w:lang w:val="sr-Latn-CS" w:eastAsia="ar-SA"/>
        </w:rPr>
      </w:pPr>
      <w:r w:rsidRPr="00581A83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581A83">
        <w:rPr>
          <w:sz w:val="16"/>
          <w:szCs w:val="16"/>
          <w:lang w:val="sr-Latn-CS" w:eastAsia="ar-SA"/>
        </w:rPr>
        <w:t>201</w:t>
      </w:r>
      <w:r>
        <w:rPr>
          <w:sz w:val="16"/>
          <w:szCs w:val="16"/>
          <w:lang w:val="sr-Cyrl-CS" w:eastAsia="ar-SA"/>
        </w:rPr>
        <w:t>2</w:t>
      </w:r>
      <w:r w:rsidRPr="00581A83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9B4744" w:rsidRPr="007363C9" w:rsidRDefault="007D6BB6" w:rsidP="007D6BB6">
      <w:pPr>
        <w:rPr>
          <w:sz w:val="16"/>
          <w:szCs w:val="16"/>
          <w:lang w:val="sr-Cyrl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7363C9">
        <w:rPr>
          <w:sz w:val="16"/>
          <w:szCs w:val="16"/>
          <w:lang w:eastAsia="ar-SA"/>
        </w:rPr>
        <w:t>.</w:t>
      </w:r>
    </w:p>
    <w:p w:rsidR="004B12F0" w:rsidRDefault="004B12F0" w:rsidP="00CD4526">
      <w:pPr>
        <w:jc w:val="center"/>
        <w:rPr>
          <w:lang w:val="sr-Latn-CS"/>
        </w:rPr>
      </w:pPr>
    </w:p>
    <w:p w:rsidR="00375A12" w:rsidRDefault="00375A12" w:rsidP="00CD4526">
      <w:pPr>
        <w:jc w:val="center"/>
      </w:pPr>
      <w:r>
        <w:rPr>
          <w:lang w:val="sr-Latn-CS"/>
        </w:rPr>
        <w:br w:type="page"/>
      </w:r>
    </w:p>
    <w:p w:rsidR="001653E0" w:rsidRDefault="001653E0">
      <w:pPr>
        <w:rPr>
          <w:b/>
          <w:sz w:val="24"/>
          <w:szCs w:val="24"/>
          <w:lang w:val="sr-Latn-CS"/>
        </w:rPr>
      </w:pPr>
    </w:p>
    <w:p w:rsidR="00EA1166" w:rsidRDefault="00EA1166">
      <w:pPr>
        <w:rPr>
          <w:b/>
          <w:sz w:val="24"/>
          <w:szCs w:val="24"/>
          <w:lang w:val="sr-Latn-CS"/>
        </w:rPr>
      </w:pPr>
    </w:p>
    <w:p w:rsidR="00EA1166" w:rsidRDefault="00EA1166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9C6D43" w:rsidRDefault="005C365A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84064840" w:history="1">
        <w:r w:rsidR="009C6D43" w:rsidRPr="004148F4">
          <w:rPr>
            <w:rStyle w:val="Hyperlink"/>
            <w:noProof/>
            <w:lang w:val="sr-Cyrl-CS"/>
          </w:rPr>
          <w:t>Сумирање</w:t>
        </w:r>
        <w:r w:rsidR="009C6D4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6D43">
          <w:rPr>
            <w:noProof/>
            <w:webHidden/>
          </w:rPr>
          <w:instrText xml:space="preserve"> PAGEREF _Toc284064840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6D4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C6D43" w:rsidRDefault="005C365A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64841" w:history="1">
        <w:r w:rsidR="009C6D43" w:rsidRPr="004148F4">
          <w:rPr>
            <w:rStyle w:val="Hyperlink"/>
            <w:noProof/>
            <w:lang w:val="sr-Cyrl-CS" w:eastAsia="sr-Latn-CS"/>
          </w:rPr>
          <w:t>1</w:t>
        </w:r>
        <w:r w:rsidR="009C6D43" w:rsidRPr="004148F4">
          <w:rPr>
            <w:rStyle w:val="Hyperlink"/>
            <w:noProof/>
            <w:lang w:eastAsia="sr-Latn-CS"/>
          </w:rPr>
          <w:t>.4 Облици расподеле учесталости</w:t>
        </w:r>
        <w:r w:rsidR="009C6D4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6D43">
          <w:rPr>
            <w:noProof/>
            <w:webHidden/>
          </w:rPr>
          <w:instrText xml:space="preserve"> PAGEREF _Toc284064841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6D4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C6D43" w:rsidRDefault="005C365A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64842" w:history="1">
        <w:r w:rsidR="009C6D43" w:rsidRPr="004148F4">
          <w:rPr>
            <w:rStyle w:val="Hyperlink"/>
            <w:noProof/>
            <w:lang w:val="sr-Cyrl-CS" w:eastAsia="sr-Latn-CS"/>
          </w:rPr>
          <w:t>1</w:t>
        </w:r>
        <w:r w:rsidR="009C6D43" w:rsidRPr="004148F4">
          <w:rPr>
            <w:rStyle w:val="Hyperlink"/>
            <w:noProof/>
            <w:lang w:eastAsia="sr-Latn-CS"/>
          </w:rPr>
          <w:t xml:space="preserve">.5 </w:t>
        </w:r>
        <w:r w:rsidR="009C6D43" w:rsidRPr="004148F4">
          <w:rPr>
            <w:rStyle w:val="Hyperlink"/>
            <w:noProof/>
            <w:lang w:val="sr-Cyrl-CS" w:eastAsia="sr-Latn-CS"/>
          </w:rPr>
          <w:t>Медијане</w:t>
        </w:r>
        <w:r w:rsidR="009C6D43" w:rsidRPr="004148F4">
          <w:rPr>
            <w:rStyle w:val="Hyperlink"/>
            <w:noProof/>
            <w:lang w:eastAsia="sr-Latn-CS"/>
          </w:rPr>
          <w:t xml:space="preserve"> и квантили</w:t>
        </w:r>
        <w:r w:rsidR="009C6D4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6D43">
          <w:rPr>
            <w:noProof/>
            <w:webHidden/>
          </w:rPr>
          <w:instrText xml:space="preserve"> PAGEREF _Toc284064842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6D4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C6D43" w:rsidRDefault="005C365A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64843" w:history="1">
        <w:r w:rsidR="009C6D43" w:rsidRPr="004148F4">
          <w:rPr>
            <w:rStyle w:val="Hyperlink"/>
            <w:noProof/>
            <w:lang w:val="sr-Cyrl-CS" w:eastAsia="sr-Latn-CS"/>
          </w:rPr>
          <w:t>1</w:t>
        </w:r>
        <w:r w:rsidR="009C6D43" w:rsidRPr="004148F4">
          <w:rPr>
            <w:rStyle w:val="Hyperlink"/>
            <w:noProof/>
            <w:lang w:eastAsia="sr-Latn-CS"/>
          </w:rPr>
          <w:t>.6 Средина (mean)</w:t>
        </w:r>
        <w:r w:rsidR="009C6D4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6D43">
          <w:rPr>
            <w:noProof/>
            <w:webHidden/>
          </w:rPr>
          <w:instrText xml:space="preserve"> PAGEREF _Toc284064843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6D4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C6D43" w:rsidRDefault="005C365A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64844" w:history="1">
        <w:r w:rsidR="009C6D43" w:rsidRPr="004148F4">
          <w:rPr>
            <w:rStyle w:val="Hyperlink"/>
            <w:noProof/>
            <w:lang w:val="sr-Cyrl-CS" w:eastAsia="sr-Latn-CS"/>
          </w:rPr>
          <w:t>1</w:t>
        </w:r>
        <w:r w:rsidR="009C6D43" w:rsidRPr="004148F4">
          <w:rPr>
            <w:rStyle w:val="Hyperlink"/>
            <w:noProof/>
            <w:lang w:eastAsia="sr-Latn-CS"/>
          </w:rPr>
          <w:t xml:space="preserve">.7 </w:t>
        </w:r>
        <w:r w:rsidR="009C6D43" w:rsidRPr="004148F4">
          <w:rPr>
            <w:rStyle w:val="Hyperlink"/>
            <w:noProof/>
            <w:lang w:val="sr-Cyrl-CS" w:eastAsia="sr-Latn-CS"/>
          </w:rPr>
          <w:t>Варијанса</w:t>
        </w:r>
        <w:r w:rsidR="009C6D43" w:rsidRPr="004148F4">
          <w:rPr>
            <w:rStyle w:val="Hyperlink"/>
            <w:noProof/>
            <w:lang w:eastAsia="sr-Latn-CS"/>
          </w:rPr>
          <w:t>, опсег и опсег међуквартила</w:t>
        </w:r>
        <w:r w:rsidR="009C6D4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6D43">
          <w:rPr>
            <w:noProof/>
            <w:webHidden/>
          </w:rPr>
          <w:instrText xml:space="preserve"> PAGEREF _Toc284064844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6D4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C6D43" w:rsidRDefault="005C365A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84064845" w:history="1">
        <w:r w:rsidR="009C6D43" w:rsidRPr="004148F4">
          <w:rPr>
            <w:rStyle w:val="Hyperlink"/>
            <w:noProof/>
            <w:lang w:val="sr-Cyrl-CS" w:eastAsia="sr-Latn-CS"/>
          </w:rPr>
          <w:t>1</w:t>
        </w:r>
        <w:r w:rsidR="009C6D43" w:rsidRPr="004148F4">
          <w:rPr>
            <w:rStyle w:val="Hyperlink"/>
            <w:noProof/>
            <w:lang w:eastAsia="sr-Latn-CS"/>
          </w:rPr>
          <w:t>.8 Стандардно одступање (standard deviation)</w:t>
        </w:r>
        <w:r w:rsidR="009C6D4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6D43">
          <w:rPr>
            <w:noProof/>
            <w:webHidden/>
          </w:rPr>
          <w:instrText xml:space="preserve"> PAGEREF _Toc284064845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C6D43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245D8" w:rsidRDefault="005C365A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Cyrl-CS"/>
        </w:rPr>
      </w:pPr>
    </w:p>
    <w:p w:rsidR="00F74D32" w:rsidRDefault="00F74D32" w:rsidP="001653E0">
      <w:pPr>
        <w:jc w:val="center"/>
        <w:rPr>
          <w:b/>
          <w:sz w:val="24"/>
          <w:szCs w:val="24"/>
          <w:lang w:val="sr-Cyrl-CS"/>
        </w:rPr>
      </w:pPr>
    </w:p>
    <w:p w:rsidR="00CB7556" w:rsidRDefault="00CB7556" w:rsidP="001653E0">
      <w:pPr>
        <w:jc w:val="center"/>
        <w:rPr>
          <w:b/>
          <w:sz w:val="24"/>
          <w:szCs w:val="24"/>
          <w:lang w:val="sr-Cyrl-CS"/>
        </w:rPr>
      </w:pPr>
    </w:p>
    <w:p w:rsidR="00C14DC1" w:rsidRDefault="00C14DC1" w:rsidP="001653E0">
      <w:pPr>
        <w:jc w:val="center"/>
        <w:rPr>
          <w:b/>
          <w:sz w:val="24"/>
          <w:szCs w:val="24"/>
          <w:lang w:val="sr-Cyrl-CS"/>
        </w:rPr>
      </w:pPr>
    </w:p>
    <w:p w:rsidR="00C14DC1" w:rsidRDefault="00C14DC1" w:rsidP="001653E0">
      <w:pPr>
        <w:jc w:val="center"/>
        <w:rPr>
          <w:b/>
          <w:sz w:val="24"/>
          <w:szCs w:val="24"/>
          <w:lang w:val="sr-Cyrl-CS"/>
        </w:rPr>
      </w:pPr>
    </w:p>
    <w:p w:rsidR="00C14DC1" w:rsidRDefault="00C14DC1" w:rsidP="001653E0">
      <w:pPr>
        <w:jc w:val="center"/>
        <w:rPr>
          <w:b/>
          <w:sz w:val="24"/>
          <w:szCs w:val="24"/>
          <w:lang w:val="sr-Cyrl-CS"/>
        </w:rPr>
      </w:pPr>
    </w:p>
    <w:p w:rsidR="00C14DC1" w:rsidRDefault="00C14DC1" w:rsidP="001653E0">
      <w:pPr>
        <w:jc w:val="center"/>
        <w:rPr>
          <w:b/>
          <w:sz w:val="24"/>
          <w:szCs w:val="24"/>
          <w:lang w:val="sr-Cyrl-CS"/>
        </w:rPr>
      </w:pPr>
    </w:p>
    <w:p w:rsidR="00C14DC1" w:rsidRDefault="00C14DC1" w:rsidP="001653E0">
      <w:pPr>
        <w:jc w:val="center"/>
        <w:rPr>
          <w:b/>
          <w:sz w:val="24"/>
          <w:szCs w:val="24"/>
          <w:lang w:val="sr-Cyrl-CS"/>
        </w:rPr>
      </w:pPr>
    </w:p>
    <w:p w:rsidR="00C14DC1" w:rsidRDefault="00C14DC1" w:rsidP="001653E0">
      <w:pPr>
        <w:jc w:val="center"/>
        <w:rPr>
          <w:b/>
          <w:sz w:val="24"/>
          <w:szCs w:val="24"/>
          <w:lang w:val="sr-Cyrl-CS"/>
        </w:rPr>
      </w:pPr>
    </w:p>
    <w:p w:rsidR="00C14DC1" w:rsidRDefault="00C14DC1" w:rsidP="001653E0">
      <w:pPr>
        <w:jc w:val="center"/>
        <w:rPr>
          <w:b/>
          <w:sz w:val="24"/>
          <w:szCs w:val="24"/>
          <w:lang w:val="sr-Cyrl-CS"/>
        </w:rPr>
      </w:pPr>
    </w:p>
    <w:p w:rsidR="00C14DC1" w:rsidRDefault="00C14DC1" w:rsidP="001653E0">
      <w:pPr>
        <w:jc w:val="center"/>
        <w:rPr>
          <w:b/>
          <w:sz w:val="24"/>
          <w:szCs w:val="24"/>
          <w:lang w:val="sr-Cyrl-CS"/>
        </w:rPr>
      </w:pPr>
    </w:p>
    <w:p w:rsidR="00C14DC1" w:rsidRDefault="00C14DC1" w:rsidP="001653E0">
      <w:pPr>
        <w:jc w:val="center"/>
        <w:rPr>
          <w:b/>
          <w:sz w:val="24"/>
          <w:szCs w:val="24"/>
          <w:lang w:val="sr-Cyrl-CS"/>
        </w:rPr>
      </w:pPr>
    </w:p>
    <w:p w:rsidR="00CB7556" w:rsidRDefault="00CB7556" w:rsidP="001653E0">
      <w:pPr>
        <w:jc w:val="center"/>
        <w:rPr>
          <w:b/>
          <w:sz w:val="24"/>
          <w:szCs w:val="24"/>
          <w:lang w:val="sr-Cyrl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Latn-CS"/>
        </w:rPr>
      </w:pPr>
    </w:p>
    <w:p w:rsidR="001D373F" w:rsidRDefault="001D373F" w:rsidP="001653E0">
      <w:pPr>
        <w:jc w:val="center"/>
        <w:rPr>
          <w:sz w:val="24"/>
          <w:szCs w:val="24"/>
          <w:lang w:val="sr-Cyrl-CS"/>
        </w:rPr>
      </w:pPr>
    </w:p>
    <w:p w:rsidR="001D373F" w:rsidRDefault="001D373F" w:rsidP="001653E0">
      <w:pPr>
        <w:jc w:val="center"/>
        <w:rPr>
          <w:sz w:val="24"/>
          <w:szCs w:val="24"/>
          <w:lang w:val="sr-Cyrl-CS"/>
        </w:rPr>
      </w:pPr>
    </w:p>
    <w:p w:rsidR="001D373F" w:rsidRDefault="001D373F" w:rsidP="001653E0">
      <w:pPr>
        <w:jc w:val="center"/>
        <w:rPr>
          <w:sz w:val="24"/>
          <w:szCs w:val="24"/>
          <w:lang w:val="sr-Cyrl-CS"/>
        </w:rPr>
      </w:pPr>
    </w:p>
    <w:p w:rsidR="001653E0" w:rsidRPr="004B12F0" w:rsidRDefault="002D3376" w:rsidP="001653E0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4B12F0">
        <w:rPr>
          <w:sz w:val="24"/>
          <w:szCs w:val="24"/>
          <w:lang w:val="en-US"/>
        </w:rPr>
        <w:t>9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33340F" w:rsidRPr="0033340F">
        <w:rPr>
          <w:b/>
        </w:rPr>
        <w:t xml:space="preserve">СУМИРАЊЕ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E62E6A" w:rsidRPr="00047532" w:rsidRDefault="00E62E6A" w:rsidP="00E62E6A">
      <w:pPr>
        <w:pStyle w:val="Heading1"/>
        <w:rPr>
          <w:lang w:val="sr-Cyrl-CS"/>
        </w:rPr>
      </w:pPr>
      <w:bookmarkStart w:id="2" w:name="_Toc271986252"/>
      <w:bookmarkStart w:id="3" w:name="_Toc284064840"/>
      <w:bookmarkStart w:id="4" w:name="_Toc261678930"/>
      <w:bookmarkStart w:id="5" w:name="_Toc261678929"/>
      <w:bookmarkStart w:id="6" w:name="_Toc271986253"/>
      <w:r>
        <w:rPr>
          <w:lang w:val="sr-Cyrl-CS"/>
        </w:rPr>
        <w:t>С</w:t>
      </w:r>
      <w:r w:rsidRPr="00047532">
        <w:rPr>
          <w:lang w:val="sr-Cyrl-CS"/>
        </w:rPr>
        <w:t>умирање</w:t>
      </w:r>
      <w:bookmarkEnd w:id="2"/>
      <w:bookmarkEnd w:id="3"/>
    </w:p>
    <w:p w:rsidR="00EA3365" w:rsidRPr="00581A83" w:rsidRDefault="00EA3365" w:rsidP="00EA3365">
      <w:pPr>
        <w:pStyle w:val="Heading3"/>
        <w:jc w:val="both"/>
        <w:rPr>
          <w:lang w:val="sr-Cyrl-CS" w:eastAsia="sr-Latn-CS"/>
        </w:rPr>
      </w:pPr>
      <w:bookmarkStart w:id="7" w:name="_Toc261678934"/>
      <w:bookmarkStart w:id="8" w:name="_Toc271986258"/>
      <w:bookmarkStart w:id="9" w:name="_Toc284064841"/>
      <w:bookmarkEnd w:id="4"/>
      <w:bookmarkEnd w:id="5"/>
      <w:bookmarkEnd w:id="6"/>
      <w:r>
        <w:rPr>
          <w:lang w:val="sr-Cyrl-CS" w:eastAsia="sr-Latn-CS"/>
        </w:rPr>
        <w:t>1</w:t>
      </w:r>
      <w:r w:rsidRPr="00581A83">
        <w:rPr>
          <w:lang w:val="sr-Cyrl-CS" w:eastAsia="sr-Latn-CS"/>
        </w:rPr>
        <w:t xml:space="preserve">.4 </w:t>
      </w:r>
      <w:bookmarkEnd w:id="7"/>
      <w:r w:rsidRPr="00581A83">
        <w:rPr>
          <w:lang w:val="sr-Cyrl-CS" w:eastAsia="sr-Latn-CS"/>
        </w:rPr>
        <w:t>Облици расподеле учесталости</w:t>
      </w:r>
      <w:bookmarkEnd w:id="8"/>
      <w:bookmarkEnd w:id="9"/>
    </w:p>
    <w:p w:rsidR="00EA3365" w:rsidRPr="00E779C8" w:rsidRDefault="00EA3365" w:rsidP="00EA3365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.3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видети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медицинским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подацима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Расподела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приближно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симетрична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централне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концентрисану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централне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Најчешћа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модалитет (</w:t>
      </w:r>
      <w:r w:rsidRPr="00480AEE">
        <w:rPr>
          <w:rFonts w:cs="Arial"/>
          <w:b/>
          <w:bCs/>
          <w:color w:val="auto"/>
          <w:lang w:val="sr-Latn-CS" w:eastAsia="sr-Latn-CS"/>
        </w:rPr>
        <w:t>mode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.3 </w:t>
      </w:r>
      <w:r>
        <w:rPr>
          <w:rFonts w:cs="Arial"/>
          <w:lang w:val="it-IT" w:eastAsia="sr-Latn-CS"/>
        </w:rPr>
        <w:t>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такву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једномодална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unimodal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.9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веома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различити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облик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различита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модалитета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један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близу</w:t>
      </w:r>
      <w:r w:rsidRPr="00E779C8">
        <w:rPr>
          <w:rFonts w:cs="Arial"/>
          <w:lang w:val="it-IT" w:eastAsia="sr-Latn-CS"/>
        </w:rPr>
        <w:t xml:space="preserve"> 5,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близу</w:t>
      </w:r>
      <w:r w:rsidRPr="00E779C8">
        <w:rPr>
          <w:rFonts w:cs="Arial"/>
          <w:lang w:val="it-IT" w:eastAsia="sr-Latn-CS"/>
        </w:rPr>
        <w:t xml:space="preserve"> 8.5. </w:t>
      </w:r>
      <w:r>
        <w:rPr>
          <w:rFonts w:cs="Arial"/>
          <w:lang w:val="it-IT" w:eastAsia="sr-Latn-CS"/>
        </w:rPr>
        <w:t>Ова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двомодална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bimodal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обратити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пажњу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неуједначености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хистограма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произилази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коришћења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малог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представљање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произилази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првобитне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двомодалности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подацима</w:t>
      </w:r>
      <w:r w:rsidRPr="00E779C8">
        <w:rPr>
          <w:rFonts w:cs="Arial"/>
          <w:lang w:val="it-IT" w:eastAsia="sr-Latn-CS"/>
        </w:rPr>
        <w:t xml:space="preserve">. </w:t>
      </w:r>
      <w:r w:rsidRPr="00E779C8">
        <w:rPr>
          <w:rFonts w:cs="Arial"/>
          <w:color w:val="auto"/>
          <w:lang w:val="it-IT" w:eastAsia="sr-Latn-CS"/>
        </w:rPr>
        <w:t>J</w:t>
      </w:r>
      <w:r>
        <w:rPr>
          <w:rFonts w:cs="Arial"/>
          <w:color w:val="auto"/>
          <w:lang w:val="it-IT" w:eastAsia="sr-Latn-CS"/>
        </w:rPr>
        <w:t>аз</w:t>
      </w:r>
      <w:r w:rsidRPr="00E779C8">
        <w:rPr>
          <w:rFonts w:cs="Arial"/>
          <w:color w:val="00FF00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6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7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.9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веома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изражен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двомодалност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E779C8">
        <w:rPr>
          <w:rFonts w:cs="Arial"/>
          <w:color w:val="00FF00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стање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подиже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холестерола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>. M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заправо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одвојене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малим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преклапањем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</w:t>
      </w:r>
      <w:r w:rsidRPr="00E779C8">
        <w:rPr>
          <w:rFonts w:cs="Arial"/>
          <w:lang w:val="it-IT" w:eastAsia="sr-Latn-CS"/>
        </w:rPr>
        <w:t>. M</w:t>
      </w:r>
      <w:r>
        <w:rPr>
          <w:rFonts w:cs="Arial"/>
          <w:lang w:val="it-IT" w:eastAsia="sr-Latn-CS"/>
        </w:rPr>
        <w:t>еђутим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скоро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сусреће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медицинск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статистик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једномодалне</w:t>
      </w:r>
      <w:r w:rsidRPr="00E779C8">
        <w:rPr>
          <w:rFonts w:cs="Arial"/>
          <w:lang w:val="it-IT" w:eastAsia="sr-Latn-CS"/>
        </w:rPr>
        <w:t>.</w:t>
      </w:r>
    </w:p>
    <w:p w:rsidR="00EA3365" w:rsidRDefault="00E91132" w:rsidP="00EA336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633470" cy="2727325"/>
            <wp:effectExtent l="19050" t="0" r="5080" b="0"/>
            <wp:docPr id="2" name="Picture 2" descr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272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365" w:rsidRDefault="00EA3365" w:rsidP="00EA3365">
      <w:pPr>
        <w:pStyle w:val="Figure1"/>
        <w:spacing w:after="0"/>
        <w:rPr>
          <w:lang w:val="sr-Cyrl-CS" w:eastAsia="sr-Latn-CS"/>
        </w:rPr>
      </w:pPr>
      <w:r>
        <w:rPr>
          <w:bCs/>
          <w:lang w:val="sr-Latn-CS" w:eastAsia="sr-Latn-CS"/>
        </w:rPr>
        <w:t>Слика</w:t>
      </w:r>
      <w:r w:rsidRPr="00156791">
        <w:rPr>
          <w:bCs/>
          <w:lang w:val="sr-Latn-CS" w:eastAsia="sr-Latn-CS"/>
        </w:rPr>
        <w:t xml:space="preserve"> </w:t>
      </w:r>
      <w:r>
        <w:rPr>
          <w:bCs/>
          <w:lang w:val="sr-Cyrl-CS" w:eastAsia="sr-Latn-CS"/>
        </w:rPr>
        <w:t>1.</w:t>
      </w:r>
      <w:r w:rsidRPr="00156791">
        <w:rPr>
          <w:bCs/>
          <w:lang w:val="sr-Latn-CS" w:eastAsia="sr-Latn-CS"/>
        </w:rPr>
        <w:t>9</w:t>
      </w:r>
      <w:r>
        <w:rPr>
          <w:bCs/>
          <w:lang w:val="sr-Cyrl-CS" w:eastAsia="sr-Latn-CS"/>
        </w:rPr>
        <w:t xml:space="preserve"> </w:t>
      </w:r>
      <w:r w:rsidRPr="00156791">
        <w:rPr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Серумски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холестерол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125555">
        <w:rPr>
          <w:i/>
          <w:lang w:val="sr-Latn-CS" w:eastAsia="sr-Latn-CS"/>
        </w:rPr>
        <w:t>serum cholesterol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код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сродству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породичним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увећаним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холестеролом</w:t>
      </w:r>
      <w:r>
        <w:rPr>
          <w:rFonts w:cs="Arial"/>
          <w:color w:val="auto"/>
          <w:lang w:val="sr-Cyrl-CS" w:eastAsia="sr-Latn-CS"/>
        </w:rPr>
        <w:t xml:space="preserve"> (</w:t>
      </w:r>
      <w:r w:rsidRPr="00F61F15">
        <w:rPr>
          <w:i/>
          <w:lang w:val="sr-Latn-CS" w:eastAsia="sr-Latn-CS"/>
        </w:rPr>
        <w:t>hypercholesterolaemia</w:t>
      </w:r>
      <w:r>
        <w:rPr>
          <w:rFonts w:cs="Arial"/>
          <w:color w:val="auto"/>
          <w:lang w:val="sr-Cyrl-CS" w:eastAsia="sr-Latn-CS"/>
        </w:rPr>
        <w:t>)</w:t>
      </w:r>
      <w:r w:rsidRPr="00E779C8">
        <w:rPr>
          <w:rFonts w:cs="Arial"/>
          <w:color w:val="auto"/>
          <w:lang w:val="it-IT" w:eastAsia="sr-Latn-CS"/>
        </w:rPr>
        <w:t xml:space="preserve"> </w:t>
      </w:r>
      <w:r w:rsidRPr="00156791">
        <w:rPr>
          <w:lang w:val="sr-Latn-CS" w:eastAsia="sr-Latn-CS"/>
        </w:rPr>
        <w:t xml:space="preserve">(Leonard </w:t>
      </w:r>
      <w:r w:rsidRPr="00156791">
        <w:rPr>
          <w:i/>
          <w:iCs/>
          <w:lang w:val="sr-Latn-CS" w:eastAsia="sr-Latn-CS"/>
        </w:rPr>
        <w:t>et al</w:t>
      </w:r>
      <w:r w:rsidRPr="00156791">
        <w:rPr>
          <w:lang w:val="sr-Latn-CS" w:eastAsia="sr-Latn-CS"/>
        </w:rPr>
        <w:t xml:space="preserve"> 1977)</w:t>
      </w:r>
    </w:p>
    <w:p w:rsidR="00EA3365" w:rsidRDefault="00EA3365" w:rsidP="00EA3365">
      <w:pPr>
        <w:pStyle w:val="Figure1"/>
        <w:spacing w:before="0" w:after="0"/>
        <w:jc w:val="both"/>
        <w:rPr>
          <w:lang w:val="sr-Cyrl-CS" w:eastAsia="sr-Latn-CS"/>
        </w:rPr>
      </w:pPr>
    </w:p>
    <w:p w:rsidR="00EA3365" w:rsidRPr="00EF0C5C" w:rsidRDefault="00EA3365" w:rsidP="00EA3365">
      <w:pPr>
        <w:pStyle w:val="Figure1"/>
        <w:spacing w:before="0"/>
        <w:ind w:firstLine="720"/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У табели 1.8 приказани су измерени </w:t>
      </w:r>
      <w:r>
        <w:rPr>
          <w:rFonts w:cs="Arial"/>
          <w:lang w:val="it-IT" w:eastAsia="sr-Latn-CS"/>
        </w:rPr>
        <w:t>серумски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триглицерид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пупчане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врпце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282 </w:t>
      </w:r>
      <w:r>
        <w:rPr>
          <w:rFonts w:cs="Arial"/>
          <w:lang w:val="it-IT" w:eastAsia="sr-Latn-CS"/>
        </w:rPr>
        <w:t>беб</w:t>
      </w:r>
      <w:r>
        <w:rPr>
          <w:rFonts w:cs="Arial"/>
          <w:lang w:val="sr-Cyrl-CS" w:eastAsia="sr-Latn-CS"/>
        </w:rPr>
        <w:t>е.</w:t>
      </w:r>
    </w:p>
    <w:tbl>
      <w:tblPr>
        <w:tblW w:w="9908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908"/>
      </w:tblGrid>
      <w:tr w:rsidR="00EA3365" w:rsidRPr="00156791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EA3365" w:rsidRPr="00620070" w:rsidRDefault="00EA3365" w:rsidP="00EA3365">
            <w:pPr>
              <w:spacing w:before="0"/>
              <w:rPr>
                <w:rFonts w:cs="Arial"/>
                <w:bCs/>
                <w:color w:val="auto"/>
                <w:lang w:val="sr-Cyrl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lastRenderedPageBreak/>
              <w:t>Табела</w:t>
            </w:r>
            <w:r w:rsidRPr="00156791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1</w:t>
            </w:r>
            <w:r w:rsidRPr="00156791">
              <w:rPr>
                <w:rFonts w:cs="Arial"/>
                <w:bCs/>
                <w:color w:val="auto"/>
                <w:lang w:val="sr-Latn-CS" w:eastAsia="sr-Latn-CS"/>
              </w:rPr>
              <w:t>.8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 xml:space="preserve"> </w:t>
            </w:r>
            <w:r w:rsidRPr="00156791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E779C8">
              <w:rPr>
                <w:rFonts w:cs="Arial"/>
                <w:lang w:val="it-IT" w:eastAsia="sr-Latn-CS"/>
              </w:rPr>
              <w:t>M</w:t>
            </w:r>
            <w:r>
              <w:rPr>
                <w:rFonts w:cs="Arial"/>
                <w:lang w:val="it-IT" w:eastAsia="sr-Latn-CS"/>
              </w:rPr>
              <w:t>ерења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серумских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триглицерида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у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крви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из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пупчане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врпце</w:t>
            </w:r>
            <w:r w:rsidRPr="00E779C8">
              <w:rPr>
                <w:rFonts w:cs="Arial"/>
                <w:lang w:val="it-IT" w:eastAsia="sr-Latn-CS"/>
              </w:rPr>
              <w:t xml:space="preserve"> 282 </w:t>
            </w:r>
            <w:r>
              <w:rPr>
                <w:rFonts w:cs="Arial"/>
                <w:lang w:val="it-IT" w:eastAsia="sr-Latn-CS"/>
              </w:rPr>
              <w:t>беб</w:t>
            </w:r>
            <w:r>
              <w:rPr>
                <w:rFonts w:cs="Arial"/>
                <w:lang w:val="sr-Cyrl-CS" w:eastAsia="sr-Latn-CS"/>
              </w:rPr>
              <w:t>е</w:t>
            </w:r>
          </w:p>
        </w:tc>
      </w:tr>
      <w:tr w:rsidR="00EA3365" w:rsidRPr="00156791">
        <w:trPr>
          <w:trHeight w:val="2779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  <w:gridCol w:w="786"/>
            </w:tblGrid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0.86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0.87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0.88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0.88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0.95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0.96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0.96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0.99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1.01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1.02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1.02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1.04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1.08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1.11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1.20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1.28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1.64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1.66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lastRenderedPageBreak/>
                    <w:t>0.28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</w:tr>
            <w:tr w:rsidR="00EA3365" w:rsidRPr="00156791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0.70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0.84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56791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56791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</w:tr>
          </w:tbl>
          <w:p w:rsidR="00EA3365" w:rsidRPr="00156791" w:rsidRDefault="00EA3365" w:rsidP="00EA336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EA3365" w:rsidRDefault="00EA3365" w:rsidP="00EA3365">
      <w:pPr>
        <w:spacing w:before="0"/>
        <w:ind w:firstLine="720"/>
        <w:rPr>
          <w:rFonts w:cs="Arial"/>
          <w:lang w:val="sr-Cyrl-CS" w:eastAsia="sr-Latn-CS"/>
        </w:rPr>
      </w:pPr>
    </w:p>
    <w:p w:rsidR="00EA3365" w:rsidRDefault="00EA3365" w:rsidP="00EA336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sv-SE" w:eastAsia="sr-Latn-CS"/>
        </w:rPr>
        <w:t>Слика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sv-SE" w:eastAsia="sr-Latn-CS"/>
        </w:rPr>
        <w:t xml:space="preserve">.10 </w:t>
      </w:r>
      <w:r>
        <w:rPr>
          <w:rFonts w:cs="Arial"/>
          <w:lang w:val="sv-SE" w:eastAsia="sr-Latn-CS"/>
        </w:rPr>
        <w:t>разликује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слике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sv-SE" w:eastAsia="sr-Latn-CS"/>
        </w:rPr>
        <w:t xml:space="preserve">.3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другачији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начин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Расподела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серумских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триглицерида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b/>
          <w:color w:val="auto"/>
          <w:lang w:val="sr-Cyrl-CS" w:eastAsia="sr-Latn-CS"/>
        </w:rPr>
        <w:t>искошена</w:t>
      </w:r>
      <w:r>
        <w:rPr>
          <w:rFonts w:cs="Arial"/>
          <w:color w:val="auto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skew</w:t>
      </w:r>
      <w:r>
        <w:rPr>
          <w:rFonts w:cs="Arial"/>
          <w:color w:val="auto"/>
          <w:lang w:val="sr-Cyrl-CS" w:eastAsia="sr-Latn-CS"/>
        </w:rPr>
        <w:t>)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односно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удаљеност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централне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вредности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екстремне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много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већа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једној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страни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него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другој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Де</w:t>
      </w:r>
      <w:r>
        <w:rPr>
          <w:rFonts w:cs="Arial"/>
          <w:lang w:val="sr-Cyrl-CS" w:eastAsia="sr-Latn-CS"/>
        </w:rPr>
        <w:t>лови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хистограма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близу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екстрема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</w:t>
      </w:r>
      <w:r>
        <w:rPr>
          <w:rFonts w:cs="Arial"/>
          <w:lang w:val="sr-Cyrl-CS" w:eastAsia="sr-Latn-CS"/>
        </w:rPr>
        <w:t>у се</w:t>
      </w:r>
      <w:r w:rsidRPr="00E779C8">
        <w:rPr>
          <w:rFonts w:cs="Arial"/>
          <w:lang w:val="it-IT" w:eastAsia="sr-Latn-CS"/>
        </w:rPr>
        <w:t xml:space="preserve"> </w:t>
      </w:r>
      <w:r w:rsidRPr="002704FB">
        <w:rPr>
          <w:rFonts w:cs="Arial"/>
          <w:b/>
          <w:color w:val="auto"/>
          <w:lang w:val="it-IT" w:eastAsia="sr-Latn-CS"/>
        </w:rPr>
        <w:t>задњи</w:t>
      </w:r>
      <w:r w:rsidRPr="002704FB">
        <w:rPr>
          <w:rFonts w:cs="Arial"/>
          <w:b/>
          <w:color w:val="00FF00"/>
          <w:lang w:val="it-IT" w:eastAsia="sr-Latn-CS"/>
        </w:rPr>
        <w:t xml:space="preserve"> </w:t>
      </w:r>
      <w:r w:rsidRPr="002704FB">
        <w:rPr>
          <w:rFonts w:cs="Arial"/>
          <w:b/>
          <w:color w:val="auto"/>
          <w:lang w:val="it-IT" w:eastAsia="sr-Latn-CS"/>
        </w:rPr>
        <w:t>де</w:t>
      </w:r>
      <w:r>
        <w:rPr>
          <w:rFonts w:cs="Arial"/>
          <w:b/>
          <w:color w:val="auto"/>
          <w:lang w:val="sr-Cyrl-CS" w:eastAsia="sr-Latn-CS"/>
        </w:rPr>
        <w:t>лови</w:t>
      </w:r>
      <w:r>
        <w:rPr>
          <w:rFonts w:cs="Arial"/>
          <w:color w:val="auto"/>
          <w:lang w:val="sr-Cyrl-CS" w:eastAsia="sr-Latn-CS"/>
        </w:rPr>
        <w:t xml:space="preserve"> или </w:t>
      </w:r>
      <w:r w:rsidRPr="0082623A">
        <w:rPr>
          <w:rFonts w:cs="Arial"/>
          <w:b/>
          <w:color w:val="auto"/>
          <w:lang w:val="sr-Cyrl-CS" w:eastAsia="sr-Latn-CS"/>
        </w:rPr>
        <w:t>реп</w:t>
      </w:r>
      <w:r>
        <w:rPr>
          <w:rFonts w:cs="Arial"/>
          <w:b/>
          <w:color w:val="auto"/>
          <w:lang w:val="sr-Cyrl-CS" w:eastAsia="sr-Latn-CS"/>
        </w:rPr>
        <w:t>ови</w:t>
      </w:r>
      <w:r>
        <w:rPr>
          <w:rFonts w:cs="Arial"/>
          <w:color w:val="auto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tails</w:t>
      </w:r>
      <w:r>
        <w:rPr>
          <w:rFonts w:cs="Arial"/>
          <w:color w:val="auto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E779C8">
        <w:rPr>
          <w:rFonts w:cs="Arial"/>
          <w:lang w:val="it-IT" w:eastAsia="sr-Latn-CS"/>
        </w:rPr>
        <w:t>. A</w:t>
      </w:r>
      <w:r>
        <w:rPr>
          <w:rFonts w:cs="Arial"/>
          <w:lang w:val="it-IT" w:eastAsia="sr-Latn-CS"/>
        </w:rPr>
        <w:t>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задњи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делови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 w:rsidRPr="0006541D">
        <w:rPr>
          <w:rFonts w:cs="Arial"/>
          <w:b/>
          <w:lang w:val="it-IT" w:eastAsia="sr-Latn-CS"/>
        </w:rPr>
        <w:t>симетрична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symmetrical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>.3. A</w:t>
      </w:r>
      <w:r>
        <w:rPr>
          <w:rFonts w:cs="Arial"/>
          <w:lang w:val="it-IT" w:eastAsia="sr-Latn-CS"/>
        </w:rPr>
        <w:t>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задњи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страни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дужи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задњег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стране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.10, </w:t>
      </w:r>
      <w:r>
        <w:rPr>
          <w:rFonts w:cs="Arial"/>
          <w:lang w:val="it-IT" w:eastAsia="sr-Latn-CS"/>
        </w:rPr>
        <w:t>расподела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искошена</w:t>
      </w:r>
      <w:r w:rsidRPr="00E779C8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удесно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skew to the right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позитивно</w:t>
      </w:r>
      <w:r w:rsidRPr="00E779C8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искошена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positively skew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>. A</w:t>
      </w:r>
      <w:r>
        <w:rPr>
          <w:rFonts w:cs="Arial"/>
          <w:lang w:val="it-IT" w:eastAsia="sr-Latn-CS"/>
        </w:rPr>
        <w:t>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задњи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страни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дужи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расподела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искошена</w:t>
      </w:r>
      <w:r w:rsidRPr="00E779C8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sr-Cyrl-CS" w:eastAsia="sr-Latn-CS"/>
        </w:rPr>
        <w:t>у</w:t>
      </w:r>
      <w:r>
        <w:rPr>
          <w:rFonts w:cs="Arial"/>
          <w:b/>
          <w:lang w:val="it-IT" w:eastAsia="sr-Latn-CS"/>
        </w:rPr>
        <w:t>лево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skew to the left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негативно</w:t>
      </w:r>
      <w:r w:rsidRPr="00E779C8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искошена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negatively skew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. </w:t>
      </w:r>
    </w:p>
    <w:p w:rsidR="00EA3365" w:rsidRDefault="00E91132" w:rsidP="00EA3365">
      <w:pPr>
        <w:pStyle w:val="Figure1"/>
        <w:spacing w:before="240"/>
        <w:rPr>
          <w:rFonts w:cs="Arial"/>
          <w:color w:val="auto"/>
          <w:lang w:val="sr-Latn-CS" w:eastAsia="sr-Latn-CS"/>
        </w:rPr>
      </w:pPr>
      <w:r>
        <w:rPr>
          <w:rFonts w:cs="Arial"/>
          <w:noProof/>
          <w:color w:val="auto"/>
          <w:lang w:val="en-US"/>
        </w:rPr>
        <w:drawing>
          <wp:inline distT="0" distB="0" distL="0" distR="0">
            <wp:extent cx="3880485" cy="2901950"/>
            <wp:effectExtent l="19050" t="0" r="5715" b="0"/>
            <wp:docPr id="3" name="Picture 3" descr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29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365" w:rsidRPr="00E779C8" w:rsidRDefault="00EA3365" w:rsidP="00EA3365">
      <w:pPr>
        <w:jc w:val="center"/>
        <w:rPr>
          <w:rFonts w:cs="Arial"/>
          <w:lang w:val="it-IT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56791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1</w:t>
      </w:r>
      <w:r w:rsidRPr="00156791">
        <w:rPr>
          <w:rFonts w:cs="Arial"/>
          <w:bCs/>
          <w:color w:val="auto"/>
          <w:lang w:val="sr-Latn-CS" w:eastAsia="sr-Latn-CS"/>
        </w:rPr>
        <w:t>.10</w:t>
      </w:r>
      <w:r>
        <w:rPr>
          <w:rFonts w:cs="Arial"/>
          <w:bCs/>
          <w:color w:val="auto"/>
          <w:lang w:val="sr-Cyrl-CS" w:eastAsia="sr-Latn-CS"/>
        </w:rPr>
        <w:t xml:space="preserve"> </w:t>
      </w:r>
      <w:r w:rsidRPr="00156791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Серумски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триглицериди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пупчане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врпце</w:t>
      </w:r>
      <w:r w:rsidRPr="00E779C8">
        <w:rPr>
          <w:rFonts w:cs="Arial"/>
          <w:lang w:val="it-IT" w:eastAsia="sr-Latn-CS"/>
        </w:rPr>
        <w:t xml:space="preserve"> 282 </w:t>
      </w:r>
      <w:r>
        <w:rPr>
          <w:rFonts w:cs="Arial"/>
          <w:lang w:val="it-IT" w:eastAsia="sr-Latn-CS"/>
        </w:rPr>
        <w:t>бебе</w:t>
      </w:r>
      <w:r w:rsidRPr="00E779C8">
        <w:rPr>
          <w:rFonts w:cs="Arial"/>
          <w:lang w:val="it-IT" w:eastAsia="sr-Latn-CS"/>
        </w:rPr>
        <w:t xml:space="preserve"> (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>.8)</w:t>
      </w:r>
    </w:p>
    <w:p w:rsidR="00EA3365" w:rsidRDefault="00EA3365" w:rsidP="00EA3365">
      <w:pPr>
        <w:spacing w:before="0"/>
        <w:ind w:firstLine="720"/>
        <w:rPr>
          <w:rFonts w:cs="Arial"/>
          <w:color w:val="auto"/>
          <w:lang w:val="sr-Cyrl-CS" w:eastAsia="sr-Latn-CS"/>
        </w:rPr>
      </w:pPr>
    </w:p>
    <w:p w:rsidR="00EA3365" w:rsidRPr="00B66CCE" w:rsidRDefault="00EA3365" w:rsidP="00EA336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необично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.11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асиметрије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долази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бебе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рођене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живе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раздобљу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трудноће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око</w:t>
      </w:r>
      <w:r w:rsidRPr="00E779C8">
        <w:rPr>
          <w:rFonts w:cs="Arial"/>
          <w:lang w:val="it-IT" w:eastAsia="sr-Latn-CS"/>
        </w:rPr>
        <w:t xml:space="preserve"> 20 </w:t>
      </w:r>
      <w:r>
        <w:rPr>
          <w:rFonts w:cs="Arial"/>
          <w:lang w:val="it-IT" w:eastAsia="sr-Latn-CS"/>
        </w:rPr>
        <w:t>недеља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убрзо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након</w:t>
      </w:r>
      <w:r w:rsidRPr="00E779C8">
        <w:rPr>
          <w:rFonts w:cs="Arial"/>
          <w:lang w:val="it-IT" w:eastAsia="sr-Latn-CS"/>
        </w:rPr>
        <w:t xml:space="preserve"> 40 </w:t>
      </w:r>
      <w:r>
        <w:rPr>
          <w:rFonts w:cs="Arial"/>
          <w:lang w:val="it-IT" w:eastAsia="sr-Latn-CS"/>
        </w:rPr>
        <w:t>недеља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Неће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дозвољено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трудноћа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одужи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после</w:t>
      </w:r>
      <w:r w:rsidRPr="00E779C8">
        <w:rPr>
          <w:rFonts w:cs="Arial"/>
          <w:lang w:val="it-IT" w:eastAsia="sr-Latn-CS"/>
        </w:rPr>
        <w:t xml:space="preserve"> 44 </w:t>
      </w:r>
      <w:r>
        <w:rPr>
          <w:rFonts w:cs="Arial"/>
          <w:lang w:val="it-IT" w:eastAsia="sr-Latn-CS"/>
        </w:rPr>
        <w:t>недеље</w:t>
      </w:r>
      <w:r w:rsidRPr="00E779C8">
        <w:rPr>
          <w:rFonts w:cs="Arial"/>
          <w:lang w:val="it-IT" w:eastAsia="sr-Latn-CS"/>
        </w:rPr>
        <w:t xml:space="preserve">; </w:t>
      </w:r>
      <w:r>
        <w:rPr>
          <w:rFonts w:cs="Arial"/>
          <w:lang w:val="it-IT" w:eastAsia="sr-Latn-CS"/>
        </w:rPr>
        <w:t>рађање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вештачки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изазвано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Већина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наи</w:t>
      </w:r>
      <w:r>
        <w:rPr>
          <w:rFonts w:cs="Arial"/>
          <w:lang w:val="sr-Cyrl-CS" w:eastAsia="sr-Latn-CS"/>
        </w:rPr>
        <w:t>лази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медицинском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раду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симетричне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искошене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страну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разлога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касније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расправљати</w:t>
      </w:r>
      <w:r w:rsidRPr="00E779C8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 4</w:t>
      </w:r>
      <w:r w:rsidRPr="00E779C8">
        <w:rPr>
          <w:rFonts w:cs="Arial"/>
          <w:lang w:val="it-IT" w:eastAsia="sr-Latn-CS"/>
        </w:rPr>
        <w:t>.4).</w:t>
      </w:r>
    </w:p>
    <w:p w:rsidR="00EA3365" w:rsidRDefault="00E91132" w:rsidP="00EA3365">
      <w:pPr>
        <w:pStyle w:val="Figure1"/>
        <w:spacing w:before="240"/>
        <w:rPr>
          <w:lang w:val="sr-Latn-CS" w:eastAsia="sr-Latn-CS"/>
        </w:rPr>
      </w:pPr>
      <w:bookmarkStart w:id="10" w:name="_Toc261678935"/>
      <w:r>
        <w:rPr>
          <w:noProof/>
          <w:lang w:val="en-US"/>
        </w:rPr>
        <w:lastRenderedPageBreak/>
        <w:drawing>
          <wp:inline distT="0" distB="0" distL="0" distR="0">
            <wp:extent cx="3776980" cy="2862580"/>
            <wp:effectExtent l="19050" t="0" r="0" b="0"/>
            <wp:docPr id="4" name="Picture 4" descr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980" cy="286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365" w:rsidRPr="00D4521B" w:rsidRDefault="00EA3365" w:rsidP="00EA3365">
      <w:pPr>
        <w:pStyle w:val="Figure1"/>
        <w:rPr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56791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1.</w:t>
      </w:r>
      <w:r w:rsidRPr="00156791">
        <w:rPr>
          <w:rFonts w:cs="Arial"/>
          <w:bCs/>
          <w:color w:val="auto"/>
          <w:lang w:val="sr-Latn-CS" w:eastAsia="sr-Latn-CS"/>
        </w:rPr>
        <w:t>11</w:t>
      </w:r>
      <w:r>
        <w:rPr>
          <w:rFonts w:cs="Arial"/>
          <w:bCs/>
          <w:color w:val="auto"/>
          <w:lang w:val="sr-Cyrl-CS" w:eastAsia="sr-Latn-CS"/>
        </w:rPr>
        <w:t xml:space="preserve"> </w:t>
      </w:r>
      <w:r w:rsidRPr="00156791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Раздобље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трудноће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рођењу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1749 </w:t>
      </w:r>
      <w:r>
        <w:rPr>
          <w:rFonts w:cs="Arial"/>
          <w:lang w:val="it-IT" w:eastAsia="sr-Latn-CS"/>
        </w:rPr>
        <w:t>порођаја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болници</w:t>
      </w:r>
      <w:r w:rsidRPr="00156791">
        <w:rPr>
          <w:rFonts w:cs="Arial"/>
          <w:color w:val="auto"/>
          <w:lang w:val="sr-Latn-CS" w:eastAsia="sr-Latn-CS"/>
        </w:rPr>
        <w:t xml:space="preserve"> St. George's</w:t>
      </w:r>
    </w:p>
    <w:p w:rsidR="00EA3365" w:rsidRPr="0021526C" w:rsidRDefault="00EA3365" w:rsidP="00EA3365">
      <w:pPr>
        <w:pStyle w:val="Heading3"/>
        <w:jc w:val="both"/>
        <w:rPr>
          <w:lang w:val="sr-Cyrl-CS" w:eastAsia="sr-Latn-CS"/>
        </w:rPr>
      </w:pPr>
      <w:bookmarkStart w:id="11" w:name="_Toc271986259"/>
      <w:bookmarkStart w:id="12" w:name="_Toc284064842"/>
      <w:r>
        <w:rPr>
          <w:lang w:val="sr-Cyrl-CS" w:eastAsia="sr-Latn-CS"/>
        </w:rPr>
        <w:t>1</w:t>
      </w:r>
      <w:r w:rsidRPr="00581A83">
        <w:rPr>
          <w:lang w:val="sr-Cyrl-CS" w:eastAsia="sr-Latn-CS"/>
        </w:rPr>
        <w:t xml:space="preserve">.5 </w:t>
      </w:r>
      <w:bookmarkEnd w:id="10"/>
      <w:r>
        <w:rPr>
          <w:lang w:val="sr-Cyrl-CS" w:eastAsia="sr-Latn-CS"/>
        </w:rPr>
        <w:t>Медијане</w:t>
      </w:r>
      <w:r w:rsidRPr="00581A83">
        <w:rPr>
          <w:lang w:val="sr-Cyrl-CS" w:eastAsia="sr-Latn-CS"/>
        </w:rPr>
        <w:t xml:space="preserve"> и квантили</w:t>
      </w:r>
      <w:bookmarkEnd w:id="11"/>
      <w:bookmarkEnd w:id="12"/>
    </w:p>
    <w:p w:rsidR="00EA3365" w:rsidRPr="00E779C8" w:rsidRDefault="00EA3365" w:rsidP="00EA3365">
      <w:pPr>
        <w:spacing w:before="0"/>
        <w:rPr>
          <w:rFonts w:cs="Arial"/>
          <w:lang w:val="it-IT" w:eastAsia="sr-Latn-CS"/>
        </w:rPr>
      </w:pPr>
      <w:r w:rsidRPr="00E779C8">
        <w:rPr>
          <w:rFonts w:cs="Arial"/>
          <w:lang w:val="it-IT" w:eastAsia="sr-Latn-CS"/>
        </w:rPr>
        <w:t>M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желимо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сумирамо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неколико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бројева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извештавање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поређење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Најдиректнији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квантили</w:t>
      </w:r>
      <w:r w:rsidRPr="00E779C8">
        <w:rPr>
          <w:rFonts w:cs="Arial"/>
          <w:lang w:val="it-IT" w:eastAsia="sr-Latn-CS"/>
        </w:rPr>
        <w:t xml:space="preserve">. </w:t>
      </w:r>
      <w:r w:rsidRPr="007F43BC">
        <w:rPr>
          <w:rFonts w:cs="Arial"/>
          <w:b/>
          <w:lang w:val="it-IT" w:eastAsia="sr-Latn-CS"/>
        </w:rPr>
        <w:t>Kвантили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quantiles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квантила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медијана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квантил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b/>
          <w:lang w:val="sr-Cyrl-CS" w:eastAsia="sr-Latn-CS"/>
        </w:rPr>
        <w:t xml:space="preserve">Медијана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median</w:t>
      </w:r>
      <w:r>
        <w:rPr>
          <w:rFonts w:cs="Arial"/>
          <w:lang w:val="sr-Cyrl-CS" w:eastAsia="sr-Latn-CS"/>
        </w:rPr>
        <w:t xml:space="preserve">) или </w:t>
      </w:r>
      <w:r>
        <w:rPr>
          <w:rFonts w:cs="Arial"/>
          <w:lang w:val="it-IT" w:eastAsia="sr-Latn-CS"/>
        </w:rPr>
        <w:t>вредност</w:t>
      </w:r>
      <w:r w:rsidRPr="00F31213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средњег</w:t>
      </w:r>
      <w:r w:rsidRPr="00F31213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члана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централна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тачака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њој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од ње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једнако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Било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кумулативне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дијаграма стабл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лист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</w:t>
      </w:r>
      <w:r w:rsidRPr="00E779C8">
        <w:rPr>
          <w:rFonts w:cs="Arial"/>
          <w:lang w:val="it-IT" w:eastAsia="sr-Latn-CS"/>
        </w:rPr>
        <w:t xml:space="preserve">1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медијана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it-IT" w:eastAsia="sr-Latn-CS"/>
        </w:rPr>
        <w:t>.1, 29-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>.4. A</w:t>
      </w:r>
      <w:r>
        <w:rPr>
          <w:rFonts w:cs="Arial"/>
          <w:lang w:val="it-IT" w:eastAsia="sr-Latn-CS"/>
        </w:rPr>
        <w:t>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под</w:t>
      </w:r>
      <w:r>
        <w:rPr>
          <w:rFonts w:cs="Arial"/>
          <w:lang w:val="it-IT" w:eastAsia="sr-Latn-CS"/>
        </w:rPr>
        <w:t>једнак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тачака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бирамо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пута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централне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E779C8">
        <w:rPr>
          <w:rFonts w:cs="Arial"/>
          <w:lang w:val="it-IT" w:eastAsia="sr-Latn-CS"/>
        </w:rPr>
        <w:t>.</w:t>
      </w:r>
    </w:p>
    <w:p w:rsidR="00EA3365" w:rsidRDefault="00EA3365" w:rsidP="00EA336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принципу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процењујемо</w:t>
      </w:r>
      <w:r w:rsidRPr="00E779C8">
        <w:rPr>
          <w:rFonts w:cs="Arial"/>
          <w:lang w:val="it-IT" w:eastAsia="sr-Latn-CS"/>
        </w:rPr>
        <w:t xml:space="preserve"> q </w:t>
      </w:r>
      <w:r>
        <w:rPr>
          <w:rFonts w:cs="Arial"/>
          <w:lang w:val="it-IT" w:eastAsia="sr-Latn-CS"/>
        </w:rPr>
        <w:t>квантил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такву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пропорција</w:t>
      </w:r>
      <w:r w:rsidRPr="00E779C8">
        <w:rPr>
          <w:rFonts w:cs="Arial"/>
          <w:lang w:val="it-IT" w:eastAsia="sr-Latn-CS"/>
        </w:rPr>
        <w:t xml:space="preserve"> q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Имамо</w:t>
      </w:r>
      <w:r w:rsidRPr="00E779C8">
        <w:rPr>
          <w:rFonts w:cs="Arial"/>
          <w:lang w:val="it-IT" w:eastAsia="sr-Latn-CS"/>
        </w:rPr>
        <w:t xml:space="preserve"> </w:t>
      </w:r>
      <w:r w:rsidRPr="00B37F91">
        <w:rPr>
          <w:rFonts w:cs="Arial"/>
          <w:i/>
          <w:lang w:val="it-IT" w:eastAsia="sr-Latn-CS"/>
        </w:rPr>
        <w:t>n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уређен</w:t>
      </w:r>
      <w:r>
        <w:rPr>
          <w:rFonts w:cs="Arial"/>
          <w:lang w:val="sr-Cyrl-CS" w:eastAsia="sr-Latn-CS"/>
        </w:rPr>
        <w:t xml:space="preserve">их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n</w:t>
      </w:r>
      <w:r w:rsidRPr="00E779C8">
        <w:rPr>
          <w:rFonts w:cs="Arial"/>
          <w:lang w:val="it-IT" w:eastAsia="sr-Latn-CS"/>
        </w:rPr>
        <w:t xml:space="preserve"> + 1 </w:t>
      </w:r>
      <w:r>
        <w:rPr>
          <w:rFonts w:cs="Arial"/>
          <w:lang w:val="it-IT" w:eastAsia="sr-Latn-CS"/>
        </w:rPr>
        <w:t>делова</w:t>
      </w:r>
      <w:r w:rsidRPr="00E779C8">
        <w:rPr>
          <w:rFonts w:cs="Arial"/>
          <w:lang w:val="it-IT" w:eastAsia="sr-Latn-CS"/>
        </w:rPr>
        <w:t xml:space="preserve">: </w:t>
      </w:r>
      <w:r>
        <w:rPr>
          <w:rFonts w:cs="Arial"/>
          <w:lang w:val="it-IT" w:eastAsia="sr-Latn-CS"/>
        </w:rPr>
        <w:t>испод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најнижег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изнад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највишег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суседног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пара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Пропорција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лежи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испод</w:t>
      </w:r>
      <w:r w:rsidRPr="00E779C8">
        <w:rPr>
          <w:rFonts w:cs="Arial"/>
          <w:i/>
          <w:color w:val="auto"/>
          <w:lang w:val="sr-Latn-CS" w:eastAsia="sr-Latn-CS"/>
        </w:rPr>
        <w:t xml:space="preserve"> </w:t>
      </w:r>
      <w:r w:rsidRPr="00EA0ABC">
        <w:rPr>
          <w:rFonts w:cs="Arial"/>
          <w:i/>
          <w:color w:val="auto"/>
          <w:lang w:val="sr-Latn-CS" w:eastAsia="sr-Latn-CS"/>
        </w:rPr>
        <w:t>i</w:t>
      </w:r>
      <w:r w:rsidRPr="00B37F91">
        <w:rPr>
          <w:rFonts w:cs="Arial"/>
          <w:color w:val="auto"/>
          <w:lang w:val="sr-Cyrl-CS" w:eastAsia="sr-Latn-CS"/>
        </w:rPr>
        <w:t>-тог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процењује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преко</w:t>
      </w:r>
      <w:r w:rsidRPr="00E779C8">
        <w:rPr>
          <w:rFonts w:cs="Arial"/>
          <w:lang w:val="it-IT" w:eastAsia="sr-Latn-CS"/>
        </w:rPr>
        <w:t xml:space="preserve"> </w:t>
      </w:r>
      <w:r w:rsidRPr="00140A01">
        <w:rPr>
          <w:rFonts w:cs="Arial"/>
          <w:i/>
          <w:color w:val="auto"/>
          <w:position w:val="-10"/>
          <w:lang w:val="sr-Latn-CS" w:eastAsia="sr-Latn-CS"/>
        </w:rPr>
        <w:object w:dxaOrig="7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95pt;height:15.05pt" o:ole="">
            <v:imagedata r:id="rId11" o:title=""/>
          </v:shape>
          <o:OLEObject Type="Embed" ProgID="Equation.3" ShapeID="_x0000_i1025" DrawAspect="Content" ObjectID="_1566933363" r:id="rId12"/>
        </w:objec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Поставили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је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једнако</w:t>
      </w:r>
      <w:r w:rsidRPr="00E779C8">
        <w:rPr>
          <w:rFonts w:cs="Arial"/>
          <w:lang w:val="it-IT" w:eastAsia="sr-Latn-CS"/>
        </w:rPr>
        <w:t xml:space="preserve"> </w:t>
      </w:r>
      <w:r w:rsidRPr="00E362FE">
        <w:rPr>
          <w:rFonts w:cs="Arial"/>
          <w:lang w:val="it-IT" w:eastAsia="sr-Latn-CS"/>
        </w:rPr>
        <w:t>q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добили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i</w:t>
      </w:r>
      <w:r w:rsidRPr="00480AEE">
        <w:rPr>
          <w:rFonts w:cs="Arial"/>
          <w:color w:val="auto"/>
          <w:lang w:val="sr-Latn-CS" w:eastAsia="sr-Latn-CS"/>
        </w:rPr>
        <w:t xml:space="preserve"> = </w:t>
      </w:r>
      <w:r w:rsidRPr="00480AEE">
        <w:rPr>
          <w:rFonts w:cs="Arial"/>
          <w:i/>
          <w:iCs/>
          <w:color w:val="auto"/>
          <w:lang w:val="sr-Latn-CS" w:eastAsia="sr-Latn-CS"/>
        </w:rPr>
        <w:t>q</w:t>
      </w:r>
      <w:r>
        <w:rPr>
          <w:rFonts w:cs="Arial"/>
          <w:i/>
          <w:iCs/>
          <w:color w:val="auto"/>
          <w:lang w:val="sr-Cyrl-CS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>(</w:t>
      </w:r>
      <w:r w:rsidRPr="00480AEE">
        <w:rPr>
          <w:rFonts w:cs="Arial"/>
          <w:i/>
          <w:iCs/>
          <w:color w:val="auto"/>
          <w:lang w:val="sr-Latn-CS" w:eastAsia="sr-Latn-CS"/>
        </w:rPr>
        <w:t>n</w:t>
      </w:r>
      <w:r w:rsidRPr="00480AEE">
        <w:rPr>
          <w:rFonts w:cs="Arial"/>
          <w:color w:val="auto"/>
          <w:lang w:val="sr-Latn-CS" w:eastAsia="sr-Latn-CS"/>
        </w:rPr>
        <w:t xml:space="preserve"> + 1). </w:t>
      </w:r>
      <w:r w:rsidRPr="00E779C8">
        <w:rPr>
          <w:rFonts w:cs="Arial"/>
          <w:lang w:val="sv-SE" w:eastAsia="sr-Latn-CS"/>
        </w:rPr>
        <w:t>A</w:t>
      </w:r>
      <w:r>
        <w:rPr>
          <w:rFonts w:cs="Arial"/>
          <w:lang w:val="sv-SE" w:eastAsia="sr-Latn-CS"/>
        </w:rPr>
        <w:t>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i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цео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број</w:t>
      </w:r>
      <w:r w:rsidRPr="00E779C8">
        <w:rPr>
          <w:rFonts w:cs="Arial"/>
          <w:lang w:val="sv-SE" w:eastAsia="sr-Latn-CS"/>
        </w:rPr>
        <w:t>,</w:t>
      </w:r>
      <w:r w:rsidRPr="00E779C8">
        <w:rPr>
          <w:rFonts w:cs="Arial"/>
          <w:i/>
          <w:lang w:val="sv-SE" w:eastAsia="sr-Latn-CS"/>
        </w:rPr>
        <w:t xml:space="preserve"> </w:t>
      </w:r>
      <w:r w:rsidRPr="00EA0ABC">
        <w:rPr>
          <w:rFonts w:cs="Arial"/>
          <w:i/>
          <w:color w:val="auto"/>
          <w:lang w:val="sr-Latn-CS" w:eastAsia="sr-Latn-CS"/>
        </w:rPr>
        <w:t>i</w:t>
      </w:r>
      <w:r w:rsidRPr="00E362FE">
        <w:rPr>
          <w:rFonts w:cs="Arial"/>
          <w:color w:val="auto"/>
          <w:lang w:val="sr-Cyrl-CS" w:eastAsia="sr-Latn-CS"/>
        </w:rPr>
        <w:t>-то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жељена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процена</w:t>
      </w:r>
      <w:r w:rsidRPr="00177D9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квантил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v-SE" w:eastAsia="sr-Latn-CS"/>
        </w:rPr>
        <w:t>. A</w:t>
      </w:r>
      <w:r>
        <w:rPr>
          <w:rFonts w:cs="Arial"/>
          <w:lang w:val="sv-SE" w:eastAsia="sr-Latn-CS"/>
        </w:rPr>
        <w:t>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није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нека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i/>
          <w:lang w:val="sv-SE" w:eastAsia="sr-Latn-CS"/>
        </w:rPr>
        <w:t xml:space="preserve"> </w:t>
      </w:r>
      <w:r>
        <w:rPr>
          <w:rFonts w:cs="Arial"/>
          <w:i/>
          <w:lang w:val="sv-SE" w:eastAsia="sr-Latn-CS"/>
        </w:rPr>
        <w:t>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целобројни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део</w:t>
      </w:r>
      <w:r w:rsidRPr="00E779C8">
        <w:rPr>
          <w:rFonts w:cs="Arial"/>
          <w:lang w:val="sv-SE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i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део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децималног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зареза</w:t>
      </w:r>
      <w:r w:rsidRPr="00E779C8">
        <w:rPr>
          <w:rFonts w:cs="Arial"/>
          <w:lang w:val="sv-SE" w:eastAsia="sr-Latn-CS"/>
        </w:rPr>
        <w:t>. K</w:t>
      </w:r>
      <w:r>
        <w:rPr>
          <w:rFonts w:cs="Arial"/>
          <w:lang w:val="sv-SE" w:eastAsia="sr-Latn-CS"/>
        </w:rPr>
        <w:t>вантил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i/>
          <w:lang w:val="sv-SE" w:eastAsia="sr-Latn-CS"/>
        </w:rPr>
        <w:t>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i/>
          <w:lang w:val="sv-SE" w:eastAsia="sr-Latn-CS"/>
        </w:rPr>
        <w:t>ј</w:t>
      </w:r>
      <w:r w:rsidRPr="00E779C8">
        <w:rPr>
          <w:rFonts w:cs="Arial"/>
          <w:lang w:val="sv-SE" w:eastAsia="sr-Latn-CS"/>
        </w:rPr>
        <w:t xml:space="preserve"> + 1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Процењујемо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помоћу</w:t>
      </w:r>
    </w:p>
    <w:p w:rsidR="00EA3365" w:rsidRPr="006F48C0" w:rsidRDefault="00EA3365" w:rsidP="00EA3365">
      <w:pPr>
        <w:pStyle w:val="Equation1"/>
        <w:rPr>
          <w:lang w:val="sr-Cyrl-CS" w:eastAsia="sr-Latn-CS"/>
        </w:rPr>
      </w:pPr>
      <w:r w:rsidRPr="006F48C0">
        <w:rPr>
          <w:position w:val="-12"/>
          <w:lang w:val="sr-Cyrl-CS" w:eastAsia="sr-Latn-CS"/>
        </w:rPr>
        <w:object w:dxaOrig="2000" w:dyaOrig="320">
          <v:shape id="_x0000_i1026" type="#_x0000_t75" style="width:100.15pt;height:16.3pt" o:ole="">
            <v:imagedata r:id="rId13" o:title=""/>
          </v:shape>
          <o:OLEObject Type="Embed" ProgID="Equation.3" ShapeID="_x0000_i1026" DrawAspect="Content" ObjectID="_1566933364" r:id="rId14"/>
        </w:object>
      </w:r>
    </w:p>
    <w:p w:rsidR="00EA3365" w:rsidRPr="00E779C8" w:rsidRDefault="00EA3365" w:rsidP="00EA3365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медијану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пример</w:t>
      </w:r>
      <w:r w:rsidRPr="00E779C8">
        <w:rPr>
          <w:rFonts w:cs="Arial"/>
          <w:lang w:val="sv-SE" w:eastAsia="sr-Latn-CS"/>
        </w:rPr>
        <w:t>, 0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sv-SE" w:eastAsia="sr-Latn-CS"/>
        </w:rPr>
        <w:t xml:space="preserve">5 </w:t>
      </w:r>
      <w:r>
        <w:rPr>
          <w:rFonts w:cs="Arial"/>
          <w:lang w:val="sv-SE" w:eastAsia="sr-Latn-CS"/>
        </w:rPr>
        <w:t>квантил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sv-SE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i</w:t>
      </w:r>
      <w:r w:rsidRPr="00480AEE">
        <w:rPr>
          <w:rFonts w:cs="Arial"/>
          <w:color w:val="auto"/>
          <w:lang w:val="sr-Latn-CS" w:eastAsia="sr-Latn-CS"/>
        </w:rPr>
        <w:t xml:space="preserve"> = </w:t>
      </w:r>
      <w:r w:rsidRPr="00480AEE">
        <w:rPr>
          <w:rFonts w:cs="Arial"/>
          <w:i/>
          <w:iCs/>
          <w:color w:val="auto"/>
          <w:lang w:val="sr-Latn-CS" w:eastAsia="sr-Latn-CS"/>
        </w:rPr>
        <w:t>q</w:t>
      </w:r>
      <w:r>
        <w:rPr>
          <w:rFonts w:cs="Arial"/>
          <w:i/>
          <w:iCs/>
          <w:color w:val="auto"/>
          <w:lang w:val="sr-Latn-CS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>(</w:t>
      </w:r>
      <w:r w:rsidRPr="00480AEE">
        <w:rPr>
          <w:rFonts w:cs="Arial"/>
          <w:i/>
          <w:iCs/>
          <w:color w:val="auto"/>
          <w:lang w:val="sr-Latn-CS" w:eastAsia="sr-Latn-CS"/>
        </w:rPr>
        <w:t>n</w:t>
      </w:r>
      <w:r w:rsidRPr="00480AEE">
        <w:rPr>
          <w:rFonts w:cs="Arial"/>
          <w:color w:val="auto"/>
          <w:lang w:val="sr-Latn-CS" w:eastAsia="sr-Latn-CS"/>
        </w:rPr>
        <w:t xml:space="preserve">+1) = 0.5 </w:t>
      </w:r>
      <w:r>
        <w:rPr>
          <w:rFonts w:cs="Arial"/>
          <w:color w:val="auto"/>
          <w:lang w:val="sr-Latn-CS" w:eastAsia="sr-Latn-CS"/>
        </w:rPr>
        <w:t>x</w:t>
      </w:r>
      <w:r w:rsidRPr="00480AEE">
        <w:rPr>
          <w:rFonts w:cs="Arial"/>
          <w:color w:val="auto"/>
          <w:lang w:val="sr-Latn-CS" w:eastAsia="sr-Latn-CS"/>
        </w:rPr>
        <w:t xml:space="preserve"> (57</w:t>
      </w:r>
      <w:r>
        <w:rPr>
          <w:rFonts w:cs="Arial"/>
          <w:color w:val="auto"/>
          <w:lang w:val="sr-Cyrl-CS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>+</w:t>
      </w:r>
      <w:r>
        <w:rPr>
          <w:rFonts w:cs="Arial"/>
          <w:color w:val="auto"/>
          <w:lang w:val="sr-Cyrl-CS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>1) = 29</w:t>
      </w:r>
      <w:r w:rsidRPr="00E779C8">
        <w:rPr>
          <w:rFonts w:cs="Arial"/>
          <w:lang w:val="sv-SE" w:eastAsia="sr-Latn-CS"/>
        </w:rPr>
        <w:t>, 29-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v-SE" w:eastAsia="sr-Latn-CS"/>
        </w:rPr>
        <w:t>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раније</w:t>
      </w:r>
      <w:r w:rsidRPr="00E779C8">
        <w:rPr>
          <w:rFonts w:cs="Arial"/>
          <w:lang w:val="sv-SE" w:eastAsia="sr-Latn-CS"/>
        </w:rPr>
        <w:t>.</w:t>
      </w:r>
    </w:p>
    <w:p w:rsidR="00EA3365" w:rsidRDefault="00EA3365" w:rsidP="00EA336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Други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нарочито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квартили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quartiles</w:t>
      </w:r>
      <w:r>
        <w:rPr>
          <w:rFonts w:cs="Arial"/>
          <w:lang w:val="it-IT" w:eastAsia="sr-Latn-CS"/>
        </w:rPr>
        <w:t>) расподеле</w:t>
      </w:r>
      <w:r w:rsidRPr="00E779C8">
        <w:rPr>
          <w:rFonts w:cs="Arial"/>
          <w:lang w:val="it-IT" w:eastAsia="sr-Latn-CS"/>
        </w:rPr>
        <w:t>. K</w:t>
      </w:r>
      <w:r>
        <w:rPr>
          <w:rFonts w:cs="Arial"/>
          <w:lang w:val="it-IT" w:eastAsia="sr-Latn-CS"/>
        </w:rPr>
        <w:t>вартили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четири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зову</w:t>
      </w:r>
      <w:r w:rsidRPr="00E779C8">
        <w:rPr>
          <w:rFonts w:cs="Arial"/>
          <w:lang w:val="it-IT" w:eastAsia="sr-Latn-CS"/>
        </w:rPr>
        <w:t xml:space="preserve"> </w:t>
      </w:r>
      <w:r w:rsidRPr="000A3945">
        <w:rPr>
          <w:rFonts w:cs="Arial"/>
          <w:b/>
          <w:lang w:val="it-IT" w:eastAsia="sr-Latn-CS"/>
        </w:rPr>
        <w:t>четвртине</w:t>
      </w:r>
      <w:r>
        <w:rPr>
          <w:rFonts w:cs="Arial"/>
          <w:lang w:val="it-IT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fourths</w:t>
      </w:r>
      <w:r>
        <w:rPr>
          <w:rFonts w:cs="Arial"/>
          <w:lang w:val="it-IT" w:eastAsia="sr-Latn-CS"/>
        </w:rPr>
        <w:t>)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Други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квартил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медијана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FEV</w:t>
      </w:r>
      <w:r w:rsidRPr="00E779C8">
        <w:rPr>
          <w:rFonts w:cs="Arial"/>
          <w:lang w:val="sv-SE" w:eastAsia="sr-Latn-CS"/>
        </w:rPr>
        <w:t xml:space="preserve">1 </w:t>
      </w:r>
      <w:r>
        <w:rPr>
          <w:rFonts w:cs="Arial"/>
          <w:lang w:val="sv-SE" w:eastAsia="sr-Latn-CS"/>
        </w:rPr>
        <w:t>податке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први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трећи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квартил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су</w:t>
      </w:r>
      <w:r w:rsidRPr="00E779C8">
        <w:rPr>
          <w:rFonts w:cs="Arial"/>
          <w:lang w:val="sv-SE" w:eastAsia="sr-Latn-CS"/>
        </w:rPr>
        <w:t xml:space="preserve"> 3</w:t>
      </w:r>
      <w:r>
        <w:rPr>
          <w:rFonts w:cs="Arial"/>
          <w:lang w:val="sv-SE" w:eastAsia="sr-Latn-CS"/>
        </w:rPr>
        <w:t>.</w:t>
      </w:r>
      <w:r w:rsidRPr="00E779C8">
        <w:rPr>
          <w:rFonts w:cs="Arial"/>
          <w:lang w:val="sv-SE" w:eastAsia="sr-Latn-CS"/>
        </w:rPr>
        <w:t xml:space="preserve">54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4</w:t>
      </w:r>
      <w:r>
        <w:rPr>
          <w:rFonts w:cs="Arial"/>
          <w:lang w:val="sv-SE" w:eastAsia="sr-Latn-CS"/>
        </w:rPr>
        <w:t>.</w:t>
      </w:r>
      <w:r w:rsidRPr="00E779C8">
        <w:rPr>
          <w:rFonts w:cs="Arial"/>
          <w:lang w:val="sv-SE" w:eastAsia="sr-Latn-CS"/>
        </w:rPr>
        <w:t xml:space="preserve">53.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први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 xml:space="preserve">квартил </w:t>
      </w:r>
      <w:r w:rsidRPr="00E779C8">
        <w:rPr>
          <w:rFonts w:cs="Arial"/>
          <w:lang w:val="sv-SE" w:eastAsia="sr-Latn-CS"/>
        </w:rPr>
        <w:t xml:space="preserve"> </w:t>
      </w:r>
      <w:r w:rsidRPr="00A14690">
        <w:rPr>
          <w:rFonts w:cs="Arial"/>
          <w:position w:val="-6"/>
          <w:lang w:val="sv-SE" w:eastAsia="sr-Latn-CS"/>
        </w:rPr>
        <w:object w:dxaOrig="1680" w:dyaOrig="260">
          <v:shape id="_x0000_i1027" type="#_x0000_t75" style="width:83.9pt;height:13.15pt" o:ole="">
            <v:imagedata r:id="rId15" o:title=""/>
          </v:shape>
          <o:OLEObject Type="Embed" ProgID="Equation.3" ShapeID="_x0000_i1027" DrawAspect="Content" ObjectID="_1566933365" r:id="rId16"/>
        </w:object>
      </w:r>
      <w:r w:rsidRPr="00E779C8">
        <w:rPr>
          <w:rFonts w:cs="Arial"/>
          <w:lang w:val="sv-SE" w:eastAsia="sr-Latn-CS"/>
        </w:rPr>
        <w:t>. K</w:t>
      </w:r>
      <w:r>
        <w:rPr>
          <w:rFonts w:cs="Arial"/>
          <w:lang w:val="sv-SE" w:eastAsia="sr-Latn-CS"/>
        </w:rPr>
        <w:t>вартил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E779C8">
        <w:rPr>
          <w:rFonts w:cs="Arial"/>
          <w:lang w:val="sv-SE" w:eastAsia="sr-Latn-CS"/>
        </w:rPr>
        <w:t xml:space="preserve"> 14</w:t>
      </w:r>
      <w:r>
        <w:rPr>
          <w:rFonts w:cs="Arial"/>
          <w:lang w:val="sv-SE" w:eastAsia="sr-Latn-CS"/>
        </w:rPr>
        <w:t>-</w:t>
      </w:r>
      <w:r>
        <w:rPr>
          <w:rFonts w:cs="Arial"/>
          <w:lang w:val="sr-Cyrl-CS" w:eastAsia="sr-Latn-CS"/>
        </w:rPr>
        <w:t>тог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15</w:t>
      </w:r>
      <w:r>
        <w:rPr>
          <w:rFonts w:cs="Arial"/>
          <w:lang w:val="sr-Cyrl-CS" w:eastAsia="sr-Latn-CS"/>
        </w:rPr>
        <w:t>-тог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која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оба</w:t>
      </w:r>
      <w:r w:rsidRPr="00E779C8">
        <w:rPr>
          <w:rFonts w:cs="Arial"/>
          <w:lang w:val="sv-SE" w:eastAsia="sr-Latn-CS"/>
        </w:rPr>
        <w:t xml:space="preserve"> 3.54.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трећи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квартил</w:t>
      </w:r>
      <w:r w:rsidRPr="00E779C8">
        <w:rPr>
          <w:rFonts w:cs="Arial"/>
          <w:lang w:val="sv-SE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i</w:t>
      </w:r>
      <w:r w:rsidRPr="00480AEE">
        <w:rPr>
          <w:rFonts w:cs="Arial"/>
          <w:color w:val="auto"/>
          <w:lang w:val="sr-Latn-CS" w:eastAsia="sr-Latn-CS"/>
        </w:rPr>
        <w:t xml:space="preserve"> =</w:t>
      </w:r>
      <w:r w:rsidRPr="00E779C8">
        <w:rPr>
          <w:rFonts w:cs="Arial"/>
          <w:lang w:val="sv-SE" w:eastAsia="sr-Latn-CS"/>
        </w:rPr>
        <w:t xml:space="preserve"> 0.75 </w:t>
      </w:r>
      <w:r>
        <w:rPr>
          <w:rFonts w:cs="Arial"/>
          <w:lang w:val="sv-SE" w:eastAsia="sr-Latn-CS"/>
        </w:rPr>
        <w:t>x</w:t>
      </w:r>
      <w:r w:rsidRPr="00E779C8">
        <w:rPr>
          <w:rFonts w:cs="Arial"/>
          <w:lang w:val="sv-SE" w:eastAsia="sr-Latn-CS"/>
        </w:rPr>
        <w:t xml:space="preserve"> 58 = 43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sv-SE" w:eastAsia="sr-Latn-CS"/>
        </w:rPr>
        <w:t xml:space="preserve">5, </w:t>
      </w:r>
      <w:r>
        <w:rPr>
          <w:rFonts w:cs="Arial"/>
          <w:lang w:val="sv-SE" w:eastAsia="sr-Latn-CS"/>
        </w:rPr>
        <w:t>тако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квартил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налази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E779C8">
        <w:rPr>
          <w:rFonts w:cs="Arial"/>
          <w:lang w:val="sv-SE" w:eastAsia="sr-Latn-CS"/>
        </w:rPr>
        <w:t xml:space="preserve"> 4</w:t>
      </w:r>
      <w:r>
        <w:rPr>
          <w:rFonts w:cs="Arial"/>
          <w:lang w:val="sr-Cyrl-CS" w:eastAsia="sr-Latn-CS"/>
        </w:rPr>
        <w:t>3</w:t>
      </w:r>
      <w:r>
        <w:rPr>
          <w:rFonts w:cs="Arial"/>
          <w:lang w:val="sv-SE" w:eastAsia="sr-Latn-CS"/>
        </w:rPr>
        <w:t>-</w:t>
      </w:r>
      <w:r>
        <w:rPr>
          <w:rFonts w:cs="Arial"/>
          <w:lang w:val="sr-Cyrl-CS" w:eastAsia="sr-Latn-CS"/>
        </w:rPr>
        <w:t>тог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4</w:t>
      </w:r>
      <w:r>
        <w:rPr>
          <w:rFonts w:cs="Arial"/>
          <w:lang w:val="sr-Cyrl-CS" w:eastAsia="sr-Latn-CS"/>
        </w:rPr>
        <w:t>4</w:t>
      </w:r>
      <w:r>
        <w:rPr>
          <w:rFonts w:cs="Arial"/>
          <w:lang w:val="sv-SE" w:eastAsia="sr-Latn-CS"/>
        </w:rPr>
        <w:t>-</w:t>
      </w:r>
      <w:r>
        <w:rPr>
          <w:rFonts w:cs="Arial"/>
          <w:lang w:val="sr-Cyrl-CS" w:eastAsia="sr-Latn-CS"/>
        </w:rPr>
        <w:t>ег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која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су</w:t>
      </w:r>
      <w:r w:rsidRPr="00E779C8">
        <w:rPr>
          <w:rFonts w:cs="Arial"/>
          <w:lang w:val="sv-SE" w:eastAsia="sr-Latn-CS"/>
        </w:rPr>
        <w:t xml:space="preserve"> 4.50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4.56. </w:t>
      </w:r>
      <w:r w:rsidRPr="00E779C8">
        <w:rPr>
          <w:rFonts w:cs="Arial"/>
          <w:lang w:val="it-IT" w:eastAsia="sr-Latn-CS"/>
        </w:rPr>
        <w:t>K</w:t>
      </w:r>
      <w:r>
        <w:rPr>
          <w:rFonts w:cs="Arial"/>
          <w:lang w:val="it-IT" w:eastAsia="sr-Latn-CS"/>
        </w:rPr>
        <w:t>вантил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помоћу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4.50 + (4.56 - 4.50) </w:t>
      </w:r>
      <w:r>
        <w:rPr>
          <w:rFonts w:cs="Arial"/>
          <w:color w:val="auto"/>
          <w:lang w:val="sr-Latn-CS" w:eastAsia="sr-Latn-CS"/>
        </w:rPr>
        <w:t>x</w:t>
      </w:r>
      <w:r w:rsidRPr="00E779C8">
        <w:rPr>
          <w:rFonts w:cs="Arial"/>
          <w:lang w:val="it-IT" w:eastAsia="sr-Latn-CS"/>
        </w:rPr>
        <w:t xml:space="preserve"> (43.5 - 43) = 4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it-IT" w:eastAsia="sr-Latn-CS"/>
        </w:rPr>
        <w:t>53. M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99 </w:t>
      </w:r>
      <w:r w:rsidRPr="00C23FCD">
        <w:rPr>
          <w:rFonts w:cs="Arial"/>
          <w:b/>
          <w:color w:val="auto"/>
          <w:lang w:val="it-IT" w:eastAsia="sr-Latn-CS"/>
        </w:rPr>
        <w:t>центила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centiles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 w:rsidRPr="00C23FCD">
        <w:rPr>
          <w:rFonts w:cs="Arial"/>
          <w:b/>
          <w:color w:val="auto"/>
          <w:lang w:val="it-IT" w:eastAsia="sr-Latn-CS"/>
        </w:rPr>
        <w:t>процен</w:t>
      </w:r>
      <w:r w:rsidRPr="00C23FCD">
        <w:rPr>
          <w:rFonts w:cs="Arial"/>
          <w:b/>
          <w:color w:val="auto"/>
          <w:lang w:val="sr-Cyrl-CS" w:eastAsia="sr-Latn-CS"/>
        </w:rPr>
        <w:t>а</w:t>
      </w:r>
      <w:r w:rsidRPr="00C23FCD">
        <w:rPr>
          <w:rFonts w:cs="Arial"/>
          <w:b/>
          <w:color w:val="auto"/>
          <w:lang w:val="it-IT" w:eastAsia="sr-Latn-CS"/>
        </w:rPr>
        <w:t>та</w:t>
      </w:r>
      <w:r>
        <w:rPr>
          <w:rFonts w:cs="Arial"/>
          <w:color w:val="auto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percentiles</w:t>
      </w:r>
      <w:r>
        <w:rPr>
          <w:rFonts w:cs="Arial"/>
          <w:color w:val="auto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Медијана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50</w:t>
      </w:r>
      <w:r>
        <w:rPr>
          <w:rFonts w:cs="Arial"/>
          <w:lang w:val="sr-Cyrl-CS" w:eastAsia="sr-Latn-CS"/>
        </w:rPr>
        <w:t>-ти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центил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20</w:t>
      </w:r>
      <w:r>
        <w:rPr>
          <w:rFonts w:cs="Arial"/>
          <w:lang w:val="sr-Cyrl-CS" w:eastAsia="sr-Latn-CS"/>
        </w:rPr>
        <w:t>-ти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центил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од </w:t>
      </w:r>
      <w:r>
        <w:rPr>
          <w:rFonts w:cs="Arial"/>
          <w:lang w:val="it-IT" w:eastAsia="sr-Latn-CS"/>
        </w:rPr>
        <w:t>FEV</w:t>
      </w:r>
      <w:r w:rsidRPr="00E779C8">
        <w:rPr>
          <w:rFonts w:cs="Arial"/>
          <w:lang w:val="it-IT" w:eastAsia="sr-Latn-CS"/>
        </w:rPr>
        <w:t>1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i</w:t>
      </w:r>
      <w:r w:rsidRPr="00480AEE">
        <w:rPr>
          <w:rFonts w:cs="Arial"/>
          <w:color w:val="auto"/>
          <w:lang w:val="sr-Latn-CS" w:eastAsia="sr-Latn-CS"/>
        </w:rPr>
        <w:t xml:space="preserve"> =</w:t>
      </w:r>
      <w:r w:rsidRPr="00E779C8">
        <w:rPr>
          <w:rFonts w:cs="Arial"/>
          <w:lang w:val="it-IT" w:eastAsia="sr-Latn-CS"/>
        </w:rPr>
        <w:t xml:space="preserve"> 0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it-IT" w:eastAsia="sr-Latn-CS"/>
        </w:rPr>
        <w:t xml:space="preserve">2 </w:t>
      </w:r>
      <w:r>
        <w:rPr>
          <w:rFonts w:cs="Arial"/>
          <w:color w:val="auto"/>
          <w:lang w:val="sr-Latn-CS" w:eastAsia="sr-Latn-CS"/>
        </w:rPr>
        <w:t>x</w:t>
      </w:r>
      <w:r w:rsidRPr="00E779C8">
        <w:rPr>
          <w:rFonts w:cs="Arial"/>
          <w:lang w:val="it-IT" w:eastAsia="sr-Latn-CS"/>
        </w:rPr>
        <w:t xml:space="preserve"> 58 = 11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it-IT" w:eastAsia="sr-Latn-CS"/>
        </w:rPr>
        <w:t xml:space="preserve">6,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11</w:t>
      </w:r>
      <w:r>
        <w:rPr>
          <w:rFonts w:cs="Arial"/>
          <w:lang w:val="sr-Cyrl-CS" w:eastAsia="sr-Latn-CS"/>
        </w:rPr>
        <w:t>-тог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12</w:t>
      </w:r>
      <w:r>
        <w:rPr>
          <w:rFonts w:cs="Arial"/>
          <w:lang w:val="sr-Cyrl-CS" w:eastAsia="sr-Latn-CS"/>
        </w:rPr>
        <w:t>-тог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, 3.42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3.48,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помоћу</w:t>
      </w:r>
      <w:r>
        <w:rPr>
          <w:rFonts w:cs="Arial"/>
          <w:lang w:val="sr-Cyrl-CS" w:eastAsia="sr-Latn-CS"/>
        </w:rPr>
        <w:t xml:space="preserve"> </w:t>
      </w:r>
      <w:r w:rsidRPr="0085440D">
        <w:rPr>
          <w:rFonts w:cs="Arial"/>
          <w:position w:val="-10"/>
          <w:lang w:val="sr-Cyrl-CS" w:eastAsia="sr-Latn-CS"/>
        </w:rPr>
        <w:object w:dxaOrig="3360" w:dyaOrig="300">
          <v:shape id="_x0000_i1028" type="#_x0000_t75" style="width:167.8pt;height:15.05pt" o:ole="">
            <v:imagedata r:id="rId17" o:title=""/>
          </v:shape>
          <o:OLEObject Type="Embed" ProgID="Equation.3" ShapeID="_x0000_i1028" DrawAspect="Content" ObjectID="_1566933366" r:id="rId18"/>
        </w:object>
      </w:r>
      <w:r>
        <w:rPr>
          <w:rFonts w:cs="Arial"/>
          <w:lang w:val="it-IT" w:eastAsia="sr-Latn-CS"/>
        </w:rPr>
        <w:t>.</w:t>
      </w:r>
    </w:p>
    <w:p w:rsidR="00EA3365" w:rsidRPr="00E779C8" w:rsidRDefault="00EA3365" w:rsidP="00EA3365">
      <w:pPr>
        <w:spacing w:before="0"/>
        <w:ind w:firstLine="720"/>
        <w:rPr>
          <w:rFonts w:cs="Arial"/>
          <w:lang w:val="it-IT" w:eastAsia="sr-Latn-CS"/>
        </w:rPr>
      </w:pPr>
      <w:r w:rsidRPr="00E779C8">
        <w:rPr>
          <w:rFonts w:cs="Arial"/>
          <w:lang w:val="it-IT" w:eastAsia="sr-Latn-CS"/>
        </w:rPr>
        <w:t>M</w:t>
      </w:r>
      <w:r>
        <w:rPr>
          <w:rFonts w:cs="Arial"/>
          <w:lang w:val="it-IT" w:eastAsia="sr-Latn-CS"/>
        </w:rPr>
        <w:t>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.2 </w:t>
      </w:r>
      <w:r>
        <w:rPr>
          <w:rFonts w:cs="Arial"/>
          <w:lang w:val="it-IT" w:eastAsia="sr-Latn-CS"/>
        </w:rPr>
        <w:t>проналажењем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позиције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вертикалној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E779C8">
        <w:rPr>
          <w:rFonts w:cs="Arial"/>
          <w:lang w:val="it-IT" w:eastAsia="sr-Latn-CS"/>
        </w:rPr>
        <w:t xml:space="preserve"> 0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it-IT" w:eastAsia="sr-Latn-CS"/>
        </w:rPr>
        <w:t xml:space="preserve">2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20</w:t>
      </w:r>
      <w:r>
        <w:rPr>
          <w:rFonts w:cs="Arial"/>
          <w:lang w:val="sr-Cyrl-CS" w:eastAsia="sr-Latn-CS"/>
        </w:rPr>
        <w:t>-ти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центил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0.5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медијану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цртајући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хоризонталну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пресеца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полигон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кумулативне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очитати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хоризонталној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оси</w:t>
      </w:r>
      <w:r w:rsidRPr="00E779C8">
        <w:rPr>
          <w:rFonts w:cs="Arial"/>
          <w:lang w:val="it-IT" w:eastAsia="sr-Latn-CS"/>
        </w:rPr>
        <w:t xml:space="preserve">. </w:t>
      </w:r>
    </w:p>
    <w:p w:rsidR="00EA3365" w:rsidRDefault="00E91132" w:rsidP="00EA3365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3411220" cy="2035810"/>
            <wp:effectExtent l="19050" t="0" r="0" b="0"/>
            <wp:docPr id="9" name="Picture 9" descr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lika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365" w:rsidRDefault="00EA3365" w:rsidP="00EA3365">
      <w:pPr>
        <w:pStyle w:val="Figure1"/>
        <w:rPr>
          <w:rFonts w:cs="Arial"/>
          <w:color w:val="auto"/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56791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1</w:t>
      </w:r>
      <w:r w:rsidRPr="00156791">
        <w:rPr>
          <w:rFonts w:cs="Arial"/>
          <w:bCs/>
          <w:color w:val="auto"/>
          <w:lang w:val="sr-Latn-CS" w:eastAsia="sr-Latn-CS"/>
        </w:rPr>
        <w:t>.12</w:t>
      </w:r>
      <w:r>
        <w:rPr>
          <w:rFonts w:cs="Arial"/>
          <w:bCs/>
          <w:color w:val="auto"/>
          <w:lang w:val="sr-Latn-CS" w:eastAsia="sr-Latn-CS"/>
        </w:rPr>
        <w:t xml:space="preserve"> </w:t>
      </w:r>
      <w:r w:rsidRPr="00156791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v-SE" w:eastAsia="sr-Latn-CS"/>
        </w:rPr>
        <w:t>Дијаграм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кутије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color w:val="auto"/>
          <w:lang w:val="sv-SE" w:eastAsia="sr-Latn-CS"/>
        </w:rPr>
        <w:t>бркова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FEV</w:t>
      </w:r>
      <w:r w:rsidRPr="00E779C8">
        <w:rPr>
          <w:rFonts w:cs="Arial"/>
          <w:lang w:val="sv-SE" w:eastAsia="sr-Latn-CS"/>
        </w:rPr>
        <w:t xml:space="preserve">1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серумске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триглицериде</w:t>
      </w:r>
    </w:p>
    <w:p w:rsidR="00EA3365" w:rsidRDefault="00E91132" w:rsidP="00EA3365">
      <w:pPr>
        <w:pStyle w:val="Figure1"/>
        <w:spacing w:after="0"/>
        <w:rPr>
          <w:rFonts w:cs="Arial"/>
          <w:color w:val="auto"/>
          <w:lang w:val="sr-Latn-CS" w:eastAsia="sr-Latn-CS"/>
        </w:rPr>
      </w:pPr>
      <w:r>
        <w:rPr>
          <w:rFonts w:cs="Arial"/>
          <w:noProof/>
          <w:color w:val="auto"/>
          <w:lang w:val="en-US"/>
        </w:rPr>
        <w:drawing>
          <wp:inline distT="0" distB="0" distL="0" distR="0">
            <wp:extent cx="3387090" cy="2417445"/>
            <wp:effectExtent l="19050" t="0" r="3810" b="0"/>
            <wp:docPr id="10" name="Picture 10" descr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lika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241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365" w:rsidRPr="00E779C8" w:rsidRDefault="00EA3365" w:rsidP="00EA3365">
      <w:pPr>
        <w:jc w:val="center"/>
        <w:rPr>
          <w:rFonts w:cs="Arial"/>
          <w:lang w:val="sv-SE" w:eastAsia="sr-Latn-CS"/>
        </w:rPr>
      </w:pPr>
      <w:r>
        <w:rPr>
          <w:bCs/>
          <w:lang w:val="sr-Latn-CS" w:eastAsia="sr-Latn-CS"/>
        </w:rPr>
        <w:t>Слика</w:t>
      </w:r>
      <w:r w:rsidRPr="00156791">
        <w:rPr>
          <w:bCs/>
          <w:lang w:val="sr-Latn-CS" w:eastAsia="sr-Latn-CS"/>
        </w:rPr>
        <w:t xml:space="preserve"> </w:t>
      </w:r>
      <w:r>
        <w:rPr>
          <w:bCs/>
          <w:lang w:val="sr-Cyrl-CS" w:eastAsia="sr-Latn-CS"/>
        </w:rPr>
        <w:t>1</w:t>
      </w:r>
      <w:r w:rsidRPr="00156791">
        <w:rPr>
          <w:bCs/>
          <w:lang w:val="sr-Latn-CS" w:eastAsia="sr-Latn-CS"/>
        </w:rPr>
        <w:t>.13</w:t>
      </w:r>
      <w:r>
        <w:rPr>
          <w:bCs/>
          <w:lang w:val="sr-Latn-CS" w:eastAsia="sr-Latn-CS"/>
        </w:rPr>
        <w:t xml:space="preserve"> </w:t>
      </w:r>
      <w:r w:rsidRPr="00156791">
        <w:rPr>
          <w:lang w:val="sr-Latn-CS" w:eastAsia="sr-Latn-CS"/>
        </w:rPr>
        <w:t xml:space="preserve"> </w:t>
      </w:r>
      <w:r w:rsidR="003A0785" w:rsidRPr="00570218">
        <w:rPr>
          <w:rFonts w:cs="Arial"/>
          <w:i/>
          <w:color w:val="auto"/>
          <w:lang w:val="sv-SE" w:eastAsia="sr-Latn-CS"/>
        </w:rPr>
        <w:t>Box plot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приближно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симетричне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променљиве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четири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уз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удаљену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тачк</w:t>
      </w:r>
      <w:r>
        <w:rPr>
          <w:rFonts w:cs="Arial"/>
          <w:lang w:val="sr-Cyrl-CS" w:eastAsia="sr-Latn-CS"/>
        </w:rPr>
        <w:t>у</w:t>
      </w:r>
    </w:p>
    <w:p w:rsidR="00EA3365" w:rsidRPr="00E779C8" w:rsidRDefault="00EA3365" w:rsidP="00EA3365">
      <w:pPr>
        <w:spacing w:before="0"/>
        <w:ind w:firstLine="720"/>
        <w:rPr>
          <w:rFonts w:cs="Arial"/>
          <w:lang w:val="sv-SE" w:eastAsia="sr-Latn-CS"/>
        </w:rPr>
      </w:pPr>
      <w:r w:rsidRPr="00480AEE">
        <w:rPr>
          <w:lang w:val="sr-Latn-CS" w:eastAsia="sr-Latn-CS"/>
        </w:rPr>
        <w:t xml:space="preserve">Tukey (1977)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користио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медијану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квартиле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максимум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минимум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погодни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преглед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пет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фигура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расподеле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такође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предложио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прави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</w:t>
      </w:r>
      <w:r>
        <w:rPr>
          <w:rFonts w:cs="Arial"/>
          <w:lang w:val="sr-Cyrl-CS" w:eastAsia="sr-Latn-CS"/>
        </w:rPr>
        <w:t xml:space="preserve"> (</w:t>
      </w:r>
      <w:r w:rsidRPr="009334B4">
        <w:rPr>
          <w:rFonts w:cs="Arial"/>
          <w:i/>
          <w:color w:val="auto"/>
          <w:lang w:val="sr-Latn-CS" w:eastAsia="sr-Latn-CS"/>
        </w:rPr>
        <w:t>neat graph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v-SE" w:eastAsia="sr-Latn-CS"/>
        </w:rPr>
        <w:t xml:space="preserve">, </w:t>
      </w:r>
      <w:r w:rsidRPr="00480AEE">
        <w:rPr>
          <w:rFonts w:cs="Arial"/>
          <w:b/>
          <w:bCs/>
          <w:color w:val="auto"/>
          <w:lang w:val="sr-Latn-CS" w:eastAsia="sr-Latn-CS"/>
        </w:rPr>
        <w:t>box and whisker plot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који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</w:t>
      </w:r>
      <w:r w:rsidRPr="00E779C8">
        <w:rPr>
          <w:rFonts w:cs="Arial"/>
          <w:lang w:val="sv-SE" w:eastAsia="sr-Latn-CS"/>
        </w:rPr>
        <w:t xml:space="preserve"> (</w:t>
      </w:r>
      <w:r>
        <w:rPr>
          <w:rFonts w:cs="Arial"/>
          <w:lang w:val="sv-SE" w:eastAsia="sr-Latn-CS"/>
        </w:rPr>
        <w:t>слика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sv-SE" w:eastAsia="sr-Latn-CS"/>
        </w:rPr>
        <w:t>.12). K</w:t>
      </w:r>
      <w:r>
        <w:rPr>
          <w:rFonts w:cs="Arial"/>
          <w:lang w:val="sv-SE" w:eastAsia="sr-Latn-CS"/>
        </w:rPr>
        <w:t>утија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растојање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квартила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медијаном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означеном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color w:val="auto"/>
          <w:lang w:val="sv-SE" w:eastAsia="sr-Latn-CS"/>
        </w:rPr>
        <w:t>''бркови''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color w:val="auto"/>
          <w:lang w:val="sv-SE" w:eastAsia="sr-Latn-CS"/>
        </w:rPr>
        <w:t>показују</w:t>
      </w:r>
      <w:r w:rsidRPr="00E779C8">
        <w:rPr>
          <w:rFonts w:cs="Arial"/>
          <w:color w:val="auto"/>
          <w:lang w:val="sv-SE" w:eastAsia="sr-Latn-CS"/>
        </w:rPr>
        <w:t xml:space="preserve"> </w:t>
      </w:r>
      <w:r>
        <w:rPr>
          <w:rFonts w:cs="Arial"/>
          <w:color w:val="auto"/>
          <w:lang w:val="sv-SE" w:eastAsia="sr-Latn-CS"/>
        </w:rPr>
        <w:t>екстреме</w:t>
      </w:r>
      <w:r w:rsidRPr="00E779C8">
        <w:rPr>
          <w:rFonts w:cs="Arial"/>
          <w:color w:val="auto"/>
          <w:lang w:val="sv-SE" w:eastAsia="sr-Latn-CS"/>
        </w:rPr>
        <w:t xml:space="preserve">. </w:t>
      </w:r>
      <w:r>
        <w:rPr>
          <w:rFonts w:cs="Arial"/>
          <w:color w:val="auto"/>
          <w:lang w:val="it-IT" w:eastAsia="sr-Latn-CS"/>
        </w:rPr>
        <w:t>Различити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облици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FEV</w:t>
      </w:r>
      <w:r w:rsidRPr="00E779C8">
        <w:rPr>
          <w:rFonts w:cs="Arial"/>
          <w:color w:val="auto"/>
          <w:lang w:val="it-IT" w:eastAsia="sr-Latn-CS"/>
        </w:rPr>
        <w:t xml:space="preserve">1 </w:t>
      </w:r>
      <w:r>
        <w:rPr>
          <w:rFonts w:cs="Arial"/>
          <w:color w:val="auto"/>
          <w:lang w:val="it-IT" w:eastAsia="sr-Latn-CS"/>
        </w:rPr>
        <w:t>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расподеле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серумских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триглицерида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су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јасни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из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графикона</w:t>
      </w:r>
      <w:r w:rsidRPr="00E779C8">
        <w:rPr>
          <w:rFonts w:cs="Arial"/>
          <w:color w:val="auto"/>
          <w:lang w:val="it-IT" w:eastAsia="sr-Latn-CS"/>
        </w:rPr>
        <w:t xml:space="preserve">. </w:t>
      </w:r>
      <w:r>
        <w:rPr>
          <w:rFonts w:cs="Arial"/>
          <w:color w:val="auto"/>
          <w:lang w:val="it-IT" w:eastAsia="sr-Latn-CS"/>
        </w:rPr>
        <w:t>У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сврхе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приказивања</w:t>
      </w:r>
      <w:r w:rsidRPr="00E779C8">
        <w:rPr>
          <w:rFonts w:cs="Arial"/>
          <w:color w:val="auto"/>
          <w:lang w:val="it-IT" w:eastAsia="sr-Latn-CS"/>
        </w:rPr>
        <w:t xml:space="preserve">, </w:t>
      </w:r>
      <w:r>
        <w:rPr>
          <w:rFonts w:cs="Arial"/>
          <w:color w:val="auto"/>
          <w:lang w:val="it-IT" w:eastAsia="sr-Latn-CS"/>
        </w:rPr>
        <w:t>посматрање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чије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растојање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од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ивице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кутије</w:t>
      </w:r>
      <w:r w:rsidRPr="00E779C8">
        <w:rPr>
          <w:rFonts w:cs="Arial"/>
          <w:color w:val="auto"/>
          <w:lang w:val="it-IT" w:eastAsia="sr-Latn-CS"/>
        </w:rPr>
        <w:t xml:space="preserve"> (</w:t>
      </w:r>
      <w:r>
        <w:rPr>
          <w:rFonts w:cs="Arial"/>
          <w:color w:val="auto"/>
          <w:lang w:val="it-IT" w:eastAsia="sr-Latn-CS"/>
        </w:rPr>
        <w:t>тј</w:t>
      </w:r>
      <w:r w:rsidRPr="00E779C8">
        <w:rPr>
          <w:rFonts w:cs="Arial"/>
          <w:color w:val="auto"/>
          <w:lang w:val="it-IT" w:eastAsia="sr-Latn-CS"/>
        </w:rPr>
        <w:t xml:space="preserve">. </w:t>
      </w:r>
      <w:r>
        <w:rPr>
          <w:rFonts w:cs="Arial"/>
          <w:color w:val="auto"/>
          <w:lang w:val="it-IT" w:eastAsia="sr-Latn-CS"/>
        </w:rPr>
        <w:t>квартил</w:t>
      </w:r>
      <w:r w:rsidRPr="00E779C8">
        <w:rPr>
          <w:rFonts w:cs="Arial"/>
          <w:color w:val="auto"/>
          <w:lang w:val="it-IT" w:eastAsia="sr-Latn-CS"/>
        </w:rPr>
        <w:t xml:space="preserve">) </w:t>
      </w:r>
      <w:r>
        <w:rPr>
          <w:rFonts w:cs="Arial"/>
          <w:color w:val="auto"/>
          <w:lang w:val="sr-Cyrl-CS" w:eastAsia="sr-Latn-CS"/>
        </w:rPr>
        <w:t>је веће</w:t>
      </w:r>
      <w:r w:rsidRPr="00E779C8">
        <w:rPr>
          <w:rFonts w:cs="Arial"/>
          <w:color w:val="auto"/>
          <w:lang w:val="it-IT" w:eastAsia="sr-Latn-CS"/>
        </w:rPr>
        <w:t xml:space="preserve"> 1</w:t>
      </w:r>
      <w:r>
        <w:rPr>
          <w:rFonts w:cs="Arial"/>
          <w:color w:val="auto"/>
          <w:lang w:val="sr-Cyrl-CS" w:eastAsia="sr-Latn-CS"/>
        </w:rPr>
        <w:t>.</w:t>
      </w:r>
      <w:r w:rsidRPr="00E779C8">
        <w:rPr>
          <w:rFonts w:cs="Arial"/>
          <w:color w:val="auto"/>
          <w:lang w:val="it-IT" w:eastAsia="sr-Latn-CS"/>
        </w:rPr>
        <w:t xml:space="preserve">5 </w:t>
      </w:r>
      <w:r>
        <w:rPr>
          <w:rFonts w:cs="Arial"/>
          <w:color w:val="auto"/>
          <w:lang w:val="it-IT" w:eastAsia="sr-Latn-CS"/>
        </w:rPr>
        <w:t>путa</w:t>
      </w:r>
      <w:r>
        <w:rPr>
          <w:rFonts w:cs="Arial"/>
          <w:color w:val="auto"/>
          <w:lang w:val="sr-Cyrl-CS" w:eastAsia="sr-Latn-CS"/>
        </w:rPr>
        <w:t xml:space="preserve"> од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дужин</w:t>
      </w:r>
      <w:r>
        <w:rPr>
          <w:rFonts w:cs="Arial"/>
          <w:color w:val="auto"/>
          <w:lang w:val="sr-Cyrl-CS" w:eastAsia="sr-Latn-CS"/>
        </w:rPr>
        <w:t>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кутије</w:t>
      </w:r>
      <w:r w:rsidRPr="00E779C8">
        <w:rPr>
          <w:rFonts w:cs="Arial"/>
          <w:color w:val="auto"/>
          <w:lang w:val="it-IT" w:eastAsia="sr-Latn-CS"/>
        </w:rPr>
        <w:t xml:space="preserve"> (</w:t>
      </w:r>
      <w:r>
        <w:rPr>
          <w:rFonts w:cs="Arial"/>
          <w:color w:val="auto"/>
          <w:lang w:val="it-IT" w:eastAsia="sr-Latn-CS"/>
        </w:rPr>
        <w:t>тј</w:t>
      </w:r>
      <w:r w:rsidRPr="00E779C8">
        <w:rPr>
          <w:rFonts w:cs="Arial"/>
          <w:color w:val="auto"/>
          <w:lang w:val="it-IT" w:eastAsia="sr-Latn-CS"/>
        </w:rPr>
        <w:t xml:space="preserve">. </w:t>
      </w:r>
      <w:r>
        <w:rPr>
          <w:rFonts w:cs="Arial"/>
          <w:color w:val="auto"/>
          <w:lang w:val="it-IT" w:eastAsia="sr-Latn-CS"/>
        </w:rPr>
        <w:t>опсег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интерквартила</w:t>
      </w:r>
      <w:r>
        <w:rPr>
          <w:rFonts w:cs="Arial"/>
          <w:color w:val="auto"/>
          <w:lang w:val="sr-Cyrl-CS" w:eastAsia="sr-Latn-CS"/>
        </w:rPr>
        <w:t>;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део 1.7</w:t>
      </w:r>
      <w:r w:rsidRPr="00E779C8">
        <w:rPr>
          <w:rFonts w:cs="Arial"/>
          <w:color w:val="auto"/>
          <w:lang w:val="it-IT" w:eastAsia="sr-Latn-CS"/>
        </w:rPr>
        <w:t xml:space="preserve">) </w:t>
      </w:r>
      <w:r>
        <w:rPr>
          <w:rFonts w:cs="Arial"/>
          <w:color w:val="auto"/>
          <w:lang w:val="it-IT" w:eastAsia="sr-Latn-CS"/>
        </w:rPr>
        <w:t>се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може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назвати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b/>
          <w:color w:val="auto"/>
          <w:lang w:val="sr-Cyrl-CS" w:eastAsia="sr-Latn-CS"/>
        </w:rPr>
        <w:t>контура</w:t>
      </w:r>
      <w:r>
        <w:rPr>
          <w:rFonts w:cs="Arial"/>
          <w:color w:val="auto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outlier</w:t>
      </w:r>
      <w:r>
        <w:rPr>
          <w:rFonts w:cs="Arial"/>
          <w:color w:val="auto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sr-Cyrl-CS" w:eastAsia="sr-Latn-CS"/>
        </w:rPr>
        <w:t>Контуре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посебне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тачке</w:t>
      </w:r>
      <w:r w:rsidRPr="00E779C8">
        <w:rPr>
          <w:rFonts w:cs="Arial"/>
          <w:lang w:val="it-IT" w:eastAsia="sr-Latn-CS"/>
        </w:rPr>
        <w:t xml:space="preserve"> (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.13). </w:t>
      </w:r>
      <w:r>
        <w:rPr>
          <w:rFonts w:cs="Arial"/>
          <w:lang w:val="sv-SE" w:eastAsia="sr-Latn-CS"/>
        </w:rPr>
        <w:t>Дијаграм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користан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приказивање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поређења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више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група</w:t>
      </w:r>
      <w:r w:rsidRPr="00E779C8">
        <w:rPr>
          <w:rFonts w:cs="Arial"/>
          <w:lang w:val="sv-SE" w:eastAsia="sr-Latn-CS"/>
        </w:rPr>
        <w:t xml:space="preserve"> (</w:t>
      </w:r>
      <w:r>
        <w:rPr>
          <w:rFonts w:cs="Arial"/>
          <w:lang w:val="sv-SE" w:eastAsia="sr-Latn-CS"/>
        </w:rPr>
        <w:t>слика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sv-SE" w:eastAsia="sr-Latn-CS"/>
        </w:rPr>
        <w:t>.13).</w:t>
      </w:r>
    </w:p>
    <w:p w:rsidR="00EA3365" w:rsidRPr="00581A83" w:rsidRDefault="00EA3365" w:rsidP="00EA3365">
      <w:pPr>
        <w:pStyle w:val="Heading3"/>
        <w:jc w:val="both"/>
        <w:rPr>
          <w:lang w:val="sv-SE" w:eastAsia="sr-Latn-CS"/>
        </w:rPr>
      </w:pPr>
      <w:bookmarkStart w:id="13" w:name="PG59"/>
      <w:bookmarkStart w:id="14" w:name="_Toc261678936"/>
      <w:bookmarkStart w:id="15" w:name="_Toc271986260"/>
      <w:bookmarkStart w:id="16" w:name="_Toc284064843"/>
      <w:bookmarkEnd w:id="13"/>
      <w:r>
        <w:rPr>
          <w:lang w:val="sr-Cyrl-CS" w:eastAsia="sr-Latn-CS"/>
        </w:rPr>
        <w:t>1</w:t>
      </w:r>
      <w:r w:rsidRPr="00581A83">
        <w:rPr>
          <w:lang w:val="sv-SE" w:eastAsia="sr-Latn-CS"/>
        </w:rPr>
        <w:t xml:space="preserve">.6 </w:t>
      </w:r>
      <w:bookmarkEnd w:id="14"/>
      <w:r w:rsidRPr="006934E5">
        <w:rPr>
          <w:lang w:eastAsia="sr-Latn-CS"/>
        </w:rPr>
        <w:t>Средина</w:t>
      </w:r>
      <w:r w:rsidRPr="00581A83">
        <w:rPr>
          <w:lang w:val="sv-SE" w:eastAsia="sr-Latn-CS"/>
        </w:rPr>
        <w:t xml:space="preserve"> (mean)</w:t>
      </w:r>
      <w:bookmarkEnd w:id="15"/>
      <w:bookmarkEnd w:id="16"/>
    </w:p>
    <w:p w:rsidR="00EA3365" w:rsidRPr="00E779C8" w:rsidRDefault="00EA3365" w:rsidP="00EA3365">
      <w:pPr>
        <w:spacing w:before="0"/>
        <w:rPr>
          <w:rFonts w:cs="Arial"/>
          <w:lang w:val="it-IT" w:eastAsia="sr-Latn-CS"/>
        </w:rPr>
      </w:pPr>
      <w:bookmarkStart w:id="17" w:name="_Toc261678937"/>
      <w:r>
        <w:rPr>
          <w:rFonts w:cs="Arial"/>
          <w:lang w:val="it-IT" w:eastAsia="sr-Latn-CS"/>
        </w:rPr>
        <w:t>Медијана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централне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>. J</w:t>
      </w:r>
      <w:r>
        <w:rPr>
          <w:rFonts w:cs="Arial"/>
          <w:lang w:val="it-IT" w:eastAsia="sr-Latn-CS"/>
        </w:rPr>
        <w:t>ош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>
        <w:rPr>
          <w:rFonts w:cs="Arial"/>
          <w:lang w:val="sr-Cyrl-CS" w:eastAsia="sr-Latn-CS"/>
        </w:rPr>
        <w:t xml:space="preserve"> мера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 w:rsidRPr="00E868A2">
        <w:rPr>
          <w:rFonts w:cs="Arial"/>
          <w:b/>
          <w:color w:val="auto"/>
          <w:lang w:val="it-IT" w:eastAsia="sr-Latn-CS"/>
        </w:rPr>
        <w:t>аритметичка</w:t>
      </w:r>
      <w:r w:rsidRPr="00E868A2">
        <w:rPr>
          <w:rFonts w:cs="Arial"/>
          <w:b/>
          <w:lang w:val="it-IT" w:eastAsia="sr-Latn-CS"/>
        </w:rPr>
        <w:t xml:space="preserve"> </w:t>
      </w:r>
      <w:r w:rsidRPr="00E868A2">
        <w:rPr>
          <w:rFonts w:cs="Arial"/>
          <w:b/>
          <w:color w:val="auto"/>
          <w:lang w:val="it-IT" w:eastAsia="sr-Latn-CS"/>
        </w:rPr>
        <w:t>средина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arithmetic mean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 w:rsidRPr="00E868A2">
        <w:rPr>
          <w:rFonts w:cs="Arial"/>
          <w:b/>
          <w:lang w:val="it-IT" w:eastAsia="sr-Latn-CS"/>
        </w:rPr>
        <w:t>просек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average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обично</w:t>
      </w:r>
      <w:r>
        <w:rPr>
          <w:rFonts w:cs="Arial"/>
          <w:lang w:val="sr-Cyrl-CS" w:eastAsia="sr-Latn-CS"/>
        </w:rPr>
        <w:t xml:space="preserve"> означена једноставно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 w:rsidRPr="00BB4E5C">
        <w:rPr>
          <w:rFonts w:cs="Arial"/>
          <w:b/>
          <w:lang w:val="it-IT" w:eastAsia="sr-Latn-CS"/>
        </w:rPr>
        <w:t>средина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mean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проналази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узимањем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дељењем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бројем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размотрите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следеће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хипотетичке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>:</w:t>
      </w:r>
    </w:p>
    <w:p w:rsidR="00EA3365" w:rsidRPr="002870A9" w:rsidRDefault="00EA3365" w:rsidP="00EA3365">
      <w:pPr>
        <w:spacing w:before="60"/>
        <w:ind w:left="567"/>
        <w:rPr>
          <w:rFonts w:cs="Arial"/>
          <w:lang w:val="it-IT" w:eastAsia="sr-Latn-CS"/>
        </w:rPr>
      </w:pPr>
      <w:r w:rsidRPr="002870A9">
        <w:rPr>
          <w:rFonts w:cs="Arial"/>
          <w:lang w:val="it-IT" w:eastAsia="sr-Latn-CS"/>
        </w:rPr>
        <w:t>2 3 9 5 4 0 6 3 4</w:t>
      </w:r>
    </w:p>
    <w:p w:rsidR="00EA3365" w:rsidRPr="002870A9" w:rsidRDefault="00EA3365" w:rsidP="00EA3365">
      <w:pPr>
        <w:ind w:firstLine="720"/>
        <w:rPr>
          <w:rFonts w:cs="Arial"/>
          <w:lang w:val="sr-Latn-CS" w:eastAsia="sr-Latn-CS"/>
        </w:rPr>
      </w:pPr>
      <w:r>
        <w:rPr>
          <w:rFonts w:cs="Arial"/>
          <w:lang w:val="it-IT" w:eastAsia="sr-Latn-CS"/>
        </w:rPr>
        <w:t>Збир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36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E779C8">
        <w:rPr>
          <w:rFonts w:cs="Arial"/>
          <w:lang w:val="it-IT" w:eastAsia="sr-Latn-CS"/>
        </w:rPr>
        <w:t xml:space="preserve"> 9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средина</w:t>
      </w:r>
      <w:r w:rsidRPr="00E779C8">
        <w:rPr>
          <w:rFonts w:cs="Arial"/>
          <w:lang w:val="it-IT" w:eastAsia="sr-Latn-CS"/>
        </w:rPr>
        <w:t xml:space="preserve"> 36 / 9 = 4.0.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тренутку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уведемо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алгебарске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нотације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широко коришћене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статистици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01CE8">
        <w:rPr>
          <w:rFonts w:cs="Arial"/>
          <w:i/>
          <w:color w:val="auto"/>
          <w:lang w:val="sr-Latn-CS" w:eastAsia="sr-Latn-CS"/>
        </w:rPr>
        <w:t>observations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означавамо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</w:p>
    <w:p w:rsidR="00EA3365" w:rsidRPr="00480AEE" w:rsidRDefault="00EA3365" w:rsidP="00EA3365">
      <w:pPr>
        <w:spacing w:before="0"/>
        <w:ind w:left="567"/>
        <w:rPr>
          <w:rFonts w:cs="Arial"/>
          <w:color w:val="auto"/>
          <w:lang w:val="sr-Latn-CS" w:eastAsia="sr-Latn-CS"/>
        </w:rPr>
      </w:pPr>
      <w:r w:rsidRPr="00662886">
        <w:rPr>
          <w:rFonts w:cs="Arial"/>
          <w:color w:val="auto"/>
          <w:position w:val="-10"/>
          <w:lang w:val="sr-Latn-CS" w:eastAsia="sr-Latn-CS"/>
        </w:rPr>
        <w:object w:dxaOrig="1600" w:dyaOrig="300">
          <v:shape id="_x0000_i1029" type="#_x0000_t75" style="width:80.15pt;height:15.05pt" o:ole="">
            <v:imagedata r:id="rId21" o:title=""/>
          </v:shape>
          <o:OLEObject Type="Embed" ProgID="Equation.3" ShapeID="_x0000_i1029" DrawAspect="Content" ObjectID="_1566933367" r:id="rId22"/>
        </w:object>
      </w:r>
    </w:p>
    <w:p w:rsidR="00EA3365" w:rsidRPr="00E779C8" w:rsidRDefault="00EA3365" w:rsidP="00EA3365">
      <w:pPr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Има</w:t>
      </w:r>
      <w:r w:rsidRPr="00E779C8">
        <w:rPr>
          <w:rFonts w:cs="Arial"/>
          <w:lang w:val="it-IT" w:eastAsia="sr-Latn-CS"/>
        </w:rPr>
        <w:t xml:space="preserve"> </w:t>
      </w:r>
      <w:r w:rsidRPr="005F674F">
        <w:rPr>
          <w:rFonts w:cs="Arial"/>
          <w:i/>
          <w:lang w:val="it-IT" w:eastAsia="sr-Latn-CS"/>
        </w:rPr>
        <w:t>n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 w:rsidRPr="00EF4B3B">
        <w:rPr>
          <w:rFonts w:cs="Arial"/>
          <w:i/>
          <w:lang w:val="it-IT" w:eastAsia="sr-Latn-CS"/>
        </w:rPr>
        <w:t>i</w:t>
      </w:r>
      <w:r>
        <w:rPr>
          <w:rFonts w:cs="Arial"/>
          <w:lang w:val="it-IT" w:eastAsia="sr-Latn-CS"/>
        </w:rPr>
        <w:t>-</w:t>
      </w:r>
      <w:r>
        <w:rPr>
          <w:rFonts w:cs="Arial"/>
          <w:lang w:val="sr-Cyrl-CS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i/>
          <w:iCs/>
          <w:color w:val="auto"/>
          <w:lang w:val="sr-Latn-CS" w:eastAsia="sr-Latn-CS"/>
        </w:rPr>
        <w:t xml:space="preserve"> x</w:t>
      </w:r>
      <w:r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val="it-IT" w:eastAsia="sr-Latn-CS"/>
        </w:rPr>
        <w:t xml:space="preserve"> =</w:t>
      </w:r>
      <w:r>
        <w:rPr>
          <w:rFonts w:cs="Arial"/>
          <w:lang w:val="it-IT" w:eastAsia="sr-Latn-CS"/>
        </w:rPr>
        <w:t>.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E779C8">
        <w:rPr>
          <w:rFonts w:cs="Arial"/>
          <w:lang w:val="it-IT" w:eastAsia="sr-Latn-CS"/>
        </w:rPr>
        <w:t xml:space="preserve">, </w:t>
      </w:r>
      <w:r w:rsidRPr="00E779C8">
        <w:rPr>
          <w:rFonts w:cs="Arial"/>
          <w:i/>
          <w:iCs/>
          <w:color w:val="auto"/>
          <w:lang w:val="sr-Latn-CS" w:eastAsia="sr-Latn-CS"/>
        </w:rPr>
        <w:t>x</w:t>
      </w:r>
      <w:r w:rsidRPr="00E779C8">
        <w:rPr>
          <w:rFonts w:cs="Arial"/>
          <w:color w:val="auto"/>
          <w:vertAlign w:val="subscript"/>
          <w:lang w:val="sr-Latn-CS" w:eastAsia="sr-Latn-CS"/>
        </w:rPr>
        <w:t>4</w:t>
      </w:r>
      <w:r w:rsidRPr="00E779C8">
        <w:rPr>
          <w:rFonts w:cs="Arial"/>
          <w:lang w:val="it-IT" w:eastAsia="sr-Latn-CS"/>
        </w:rPr>
        <w:t xml:space="preserve"> = 5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n</w:t>
      </w:r>
      <w:r w:rsidRPr="00E779C8">
        <w:rPr>
          <w:rFonts w:cs="Arial"/>
          <w:lang w:val="it-IT" w:eastAsia="sr-Latn-CS"/>
        </w:rPr>
        <w:t xml:space="preserve"> = 9. </w:t>
      </w:r>
      <w:r>
        <w:rPr>
          <w:rFonts w:cs="Arial"/>
          <w:lang w:val="it-IT" w:eastAsia="sr-Latn-CS"/>
        </w:rPr>
        <w:t>Збир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свих</w:t>
      </w:r>
      <w:r w:rsidRPr="00E779C8"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i/>
          <w:iCs/>
          <w:color w:val="auto"/>
          <w:lang w:val="sr-Latn-CS" w:eastAsia="sr-Latn-CS"/>
        </w:rPr>
        <w:t>x</w:t>
      </w:r>
      <w:r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</w:p>
    <w:p w:rsidR="00EA3365" w:rsidRDefault="00EA3365" w:rsidP="00EA3365">
      <w:pPr>
        <w:pStyle w:val="Equation1"/>
      </w:pPr>
      <w:r w:rsidRPr="00A14775">
        <w:rPr>
          <w:position w:val="-28"/>
        </w:rPr>
        <w:object w:dxaOrig="560" w:dyaOrig="680">
          <v:shape id="_x0000_i1030" type="#_x0000_t75" style="width:28.15pt;height:33.8pt" o:ole="">
            <v:imagedata r:id="rId23" o:title=""/>
          </v:shape>
          <o:OLEObject Type="Embed" ProgID="Equation.3" ShapeID="_x0000_i1030" DrawAspect="Content" ObjectID="_1566933368" r:id="rId24"/>
        </w:object>
      </w:r>
    </w:p>
    <w:p w:rsidR="00EA3365" w:rsidRDefault="00EA3365" w:rsidP="00EA3365">
      <w:pPr>
        <w:spacing w:before="0"/>
        <w:ind w:firstLine="567"/>
        <w:rPr>
          <w:rFonts w:cs="Arial"/>
          <w:lang w:eastAsia="sr-Latn-CS"/>
        </w:rPr>
      </w:pPr>
      <w:r>
        <w:rPr>
          <w:rFonts w:cs="Arial"/>
          <w:lang w:val="pl-PL" w:eastAsia="sr-Latn-CS"/>
        </w:rPr>
        <w:t>Знак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сабирањ</w:t>
      </w:r>
      <w:r>
        <w:rPr>
          <w:rFonts w:cs="Arial"/>
          <w:lang w:val="sr-Cyrl-CS" w:eastAsia="sr-Latn-CS"/>
        </w:rPr>
        <w:t>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велико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грчко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слово</w:t>
      </w:r>
      <w:r w:rsidRPr="00581A83">
        <w:rPr>
          <w:rFonts w:cs="Arial"/>
          <w:lang w:eastAsia="sr-Latn-CS"/>
        </w:rPr>
        <w:t xml:space="preserve">, </w:t>
      </w:r>
      <w:r>
        <w:rPr>
          <w:rFonts w:cs="Arial"/>
          <w:lang w:val="pl-PL" w:eastAsia="sr-Latn-CS"/>
        </w:rPr>
        <w:t>сигма</w:t>
      </w:r>
      <w:r w:rsidRPr="00581A83">
        <w:rPr>
          <w:rFonts w:cs="Arial"/>
          <w:lang w:eastAsia="sr-Latn-CS"/>
        </w:rPr>
        <w:t xml:space="preserve">, </w:t>
      </w:r>
      <w:r>
        <w:rPr>
          <w:rFonts w:cs="Arial"/>
          <w:lang w:val="pl-PL" w:eastAsia="sr-Latn-CS"/>
        </w:rPr>
        <w:t>грчко</w:t>
      </w:r>
      <w:r w:rsidRPr="00581A83">
        <w:rPr>
          <w:rFonts w:cs="Arial"/>
          <w:lang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>S</w:t>
      </w:r>
      <w:r w:rsidRPr="00581A83">
        <w:rPr>
          <w:rFonts w:cs="Arial"/>
          <w:lang w:eastAsia="sr-Latn-CS"/>
        </w:rPr>
        <w:t>. K</w:t>
      </w:r>
      <w:r>
        <w:rPr>
          <w:rFonts w:cs="Arial"/>
          <w:lang w:val="pl-PL" w:eastAsia="sr-Latn-CS"/>
        </w:rPr>
        <w:t>а</w:t>
      </w:r>
      <w:r>
        <w:rPr>
          <w:rFonts w:cs="Arial"/>
          <w:lang w:val="sr-Cyrl-CS" w:eastAsia="sr-Latn-CS"/>
        </w:rPr>
        <w:t>ко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очигледно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sr-Cyrl-CS" w:eastAsia="sr-Latn-CS"/>
        </w:rPr>
        <w:t>сабирамо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вредности</w:t>
      </w:r>
      <w:r w:rsidRPr="00581A83">
        <w:rPr>
          <w:rFonts w:cs="Arial"/>
          <w:lang w:eastAsia="sr-Latn-CS"/>
        </w:rPr>
        <w:t xml:space="preserve"> </w:t>
      </w:r>
      <w:r w:rsidRPr="00E779C8">
        <w:rPr>
          <w:rFonts w:cs="Arial"/>
          <w:i/>
          <w:iCs/>
          <w:color w:val="auto"/>
          <w:lang w:val="sr-Latn-CS" w:eastAsia="sr-Latn-CS"/>
        </w:rPr>
        <w:t>x</w:t>
      </w:r>
      <w:r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све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вредности</w:t>
      </w:r>
      <w:r w:rsidRPr="00581A83">
        <w:rPr>
          <w:rFonts w:cs="Arial"/>
          <w:lang w:eastAsia="sr-Latn-CS"/>
        </w:rPr>
        <w:t xml:space="preserve"> </w:t>
      </w:r>
      <w:r w:rsidRPr="00581A83">
        <w:rPr>
          <w:rFonts w:cs="Arial"/>
          <w:i/>
          <w:lang w:eastAsia="sr-Latn-CS"/>
        </w:rPr>
        <w:t>i</w:t>
      </w:r>
      <w:r w:rsidRPr="00581A83">
        <w:rPr>
          <w:rFonts w:cs="Arial"/>
          <w:lang w:eastAsia="sr-Latn-CS"/>
        </w:rPr>
        <w:t xml:space="preserve">, </w:t>
      </w:r>
      <w:r>
        <w:rPr>
          <w:rFonts w:cs="Arial"/>
          <w:lang w:val="pl-PL" w:eastAsia="sr-Latn-CS"/>
        </w:rPr>
        <w:t>која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иде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581A83">
        <w:rPr>
          <w:rFonts w:cs="Arial"/>
          <w:lang w:eastAsia="sr-Latn-CS"/>
        </w:rPr>
        <w:t xml:space="preserve"> 1 </w:t>
      </w:r>
      <w:r>
        <w:rPr>
          <w:rFonts w:cs="Arial"/>
          <w:lang w:val="pl-PL" w:eastAsia="sr-Latn-CS"/>
        </w:rPr>
        <w:t>до</w:t>
      </w:r>
      <w:r w:rsidRPr="00581A83">
        <w:rPr>
          <w:rFonts w:cs="Arial"/>
          <w:lang w:eastAsia="sr-Latn-CS"/>
        </w:rPr>
        <w:t xml:space="preserve"> </w:t>
      </w:r>
      <w:r w:rsidRPr="00581A83">
        <w:rPr>
          <w:rFonts w:cs="Arial"/>
          <w:i/>
          <w:lang w:eastAsia="sr-Latn-CS"/>
        </w:rPr>
        <w:t>n</w:t>
      </w:r>
      <w:r w:rsidRPr="00581A83">
        <w:rPr>
          <w:rFonts w:cs="Arial"/>
          <w:lang w:eastAsia="sr-Latn-CS"/>
        </w:rPr>
        <w:t xml:space="preserve">, </w:t>
      </w:r>
      <w:r>
        <w:rPr>
          <w:rFonts w:cs="Arial"/>
          <w:lang w:val="pl-PL" w:eastAsia="sr-Latn-CS"/>
        </w:rPr>
        <w:t>скраћујемо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581A83">
        <w:rPr>
          <w:rFonts w:cs="Arial"/>
          <w:lang w:eastAsia="sr-Latn-CS"/>
        </w:rPr>
        <w:t xml:space="preserve"> </w:t>
      </w:r>
      <w:r w:rsidRPr="00662886">
        <w:rPr>
          <w:position w:val="-14"/>
        </w:rPr>
        <w:object w:dxaOrig="560" w:dyaOrig="380">
          <v:shape id="_x0000_i1031" type="#_x0000_t75" style="width:28.15pt;height:18.8pt" o:ole="">
            <v:imagedata r:id="rId25" o:title=""/>
          </v:shape>
          <o:OLEObject Type="Embed" ProgID="Equation.3" ShapeID="_x0000_i1031" DrawAspect="Content" ObjectID="_1566933369" r:id="rId26"/>
        </w:object>
      </w:r>
      <w:r>
        <w:rPr>
          <w:rFonts w:cs="Arial"/>
          <w:lang w:val="pl-PL" w:eastAsia="sr-Latn-CS"/>
        </w:rPr>
        <w:t>или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једноставно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581A83">
        <w:rPr>
          <w:rFonts w:cs="Arial"/>
          <w:lang w:eastAsia="sr-Latn-CS"/>
        </w:rPr>
        <w:t xml:space="preserve"> </w:t>
      </w:r>
      <w:r w:rsidRPr="00662886">
        <w:rPr>
          <w:position w:val="-14"/>
        </w:rPr>
        <w:object w:dxaOrig="480" w:dyaOrig="380">
          <v:shape id="_x0000_i1032" type="#_x0000_t75" style="width:23.8pt;height:18.8pt" o:ole="">
            <v:imagedata r:id="rId27" o:title=""/>
          </v:shape>
          <o:OLEObject Type="Embed" ProgID="Equation.3" ShapeID="_x0000_i1032" DrawAspect="Content" ObjectID="_1566933370" r:id="rId28"/>
        </w:object>
      </w:r>
      <w:r w:rsidRPr="00480AEE">
        <w:rPr>
          <w:rFonts w:cs="Arial"/>
          <w:color w:val="auto"/>
          <w:lang w:val="sr-Latn-CS" w:eastAsia="sr-Latn-CS"/>
        </w:rPr>
        <w:t xml:space="preserve">. </w:t>
      </w:r>
      <w:r>
        <w:rPr>
          <w:rFonts w:cs="Arial"/>
          <w:lang w:eastAsia="sr-Latn-CS"/>
        </w:rPr>
        <w:t>Средина</w:t>
      </w:r>
      <w:r w:rsidRPr="00E779C8">
        <w:rPr>
          <w:rFonts w:cs="Arial"/>
          <w:lang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се</w:t>
      </w:r>
      <w:r w:rsidRPr="00E779C8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означава</w:t>
      </w:r>
      <w:r w:rsidRPr="00E779C8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са</w:t>
      </w:r>
      <w:r w:rsidRPr="00E779C8">
        <w:rPr>
          <w:rFonts w:cs="Arial"/>
          <w:lang w:eastAsia="sr-Latn-CS"/>
        </w:rPr>
        <w:t xml:space="preserve"> </w:t>
      </w:r>
      <w:r w:rsidRPr="006E723D">
        <w:rPr>
          <w:position w:val="-4"/>
          <w:lang w:eastAsia="sr-Latn-CS"/>
        </w:rPr>
        <w:object w:dxaOrig="200" w:dyaOrig="279">
          <v:shape id="_x0000_i1033" type="#_x0000_t75" style="width:10pt;height:13.75pt" o:ole="">
            <v:imagedata r:id="rId29" o:title=""/>
          </v:shape>
          <o:OLEObject Type="Embed" ProgID="Equation.3" ShapeID="_x0000_i1033" DrawAspect="Content" ObjectID="_1566933371" r:id="rId30"/>
        </w:object>
      </w:r>
      <w:r w:rsidRPr="00E779C8">
        <w:rPr>
          <w:rFonts w:cs="Arial"/>
          <w:lang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E779C8">
        <w:rPr>
          <w:rFonts w:cs="Arial"/>
          <w:lang w:eastAsia="sr-Latn-CS"/>
        </w:rPr>
        <w:t xml:space="preserve">x </w:t>
      </w:r>
      <w:r>
        <w:rPr>
          <w:rFonts w:cs="Arial"/>
          <w:lang w:eastAsia="sr-Latn-CS"/>
        </w:rPr>
        <w:t>са</w:t>
      </w:r>
      <w:r w:rsidRPr="00E779C8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цртом</w:t>
      </w:r>
      <w:r w:rsidRPr="00E779C8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изнад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eastAsia="sr-Latn-CS"/>
        </w:rPr>
        <w:t xml:space="preserve">, </w:t>
      </w:r>
      <w:r>
        <w:rPr>
          <w:rFonts w:cs="Arial"/>
          <w:lang w:eastAsia="sr-Latn-CS"/>
        </w:rPr>
        <w:t>и</w:t>
      </w:r>
    </w:p>
    <w:p w:rsidR="00EA3365" w:rsidRPr="00E779C8" w:rsidRDefault="00EA3365" w:rsidP="00EA3365">
      <w:pPr>
        <w:pStyle w:val="Equation1"/>
        <w:spacing w:after="0"/>
        <w:rPr>
          <w:lang w:eastAsia="sr-Latn-CS"/>
        </w:rPr>
      </w:pPr>
      <w:r w:rsidRPr="00084259">
        <w:rPr>
          <w:position w:val="-20"/>
          <w:lang w:eastAsia="sr-Latn-CS"/>
        </w:rPr>
        <w:object w:dxaOrig="1800" w:dyaOrig="639">
          <v:shape id="_x0000_i1034" type="#_x0000_t75" style="width:90.15pt;height:31.95pt" o:ole="">
            <v:imagedata r:id="rId31" o:title=""/>
          </v:shape>
          <o:OLEObject Type="Embed" ProgID="Equation.3" ShapeID="_x0000_i1034" DrawAspect="Content" ObjectID="_1566933372" r:id="rId32"/>
        </w:object>
      </w:r>
    </w:p>
    <w:p w:rsidR="00EA3365" w:rsidRDefault="00EA3365" w:rsidP="00EA3365">
      <w:pPr>
        <w:spacing w:before="0"/>
        <w:ind w:firstLine="720"/>
        <w:rPr>
          <w:rFonts w:cs="Arial"/>
          <w:lang w:val="sr-Cyrl-CS" w:eastAsia="sr-Latn-CS"/>
        </w:rPr>
      </w:pPr>
    </w:p>
    <w:p w:rsidR="00EA3365" w:rsidRPr="00E779C8" w:rsidRDefault="00EA3365" w:rsidP="00EA3365">
      <w:pPr>
        <w:spacing w:before="0"/>
        <w:ind w:firstLine="720"/>
        <w:rPr>
          <w:rFonts w:cs="Arial"/>
          <w:lang w:val="sv-SE" w:eastAsia="sr-Latn-CS"/>
        </w:rPr>
      </w:pPr>
      <w:r w:rsidRPr="00581A83">
        <w:rPr>
          <w:rFonts w:cs="Arial"/>
          <w:lang w:val="sr-Cyrl-CS" w:eastAsia="sr-Latn-CS"/>
        </w:rPr>
        <w:t xml:space="preserve">Збир 57 </w:t>
      </w:r>
      <w:r>
        <w:rPr>
          <w:rFonts w:cs="Arial"/>
          <w:lang w:val="pl-PL" w:eastAsia="sr-Latn-CS"/>
        </w:rPr>
        <w:t>FEV</w:t>
      </w:r>
      <w:r w:rsidRPr="00581A83">
        <w:rPr>
          <w:rFonts w:cs="Arial"/>
          <w:lang w:val="sr-Cyrl-CS" w:eastAsia="sr-Latn-CS"/>
        </w:rPr>
        <w:t>1 је 231</w:t>
      </w:r>
      <w:r>
        <w:rPr>
          <w:rFonts w:cs="Arial"/>
          <w:lang w:val="sr-Cyrl-CS" w:eastAsia="sr-Latn-CS"/>
        </w:rPr>
        <w:t>.</w:t>
      </w:r>
      <w:r w:rsidRPr="00581A83">
        <w:rPr>
          <w:rFonts w:cs="Arial"/>
          <w:lang w:val="sr-Cyrl-CS" w:eastAsia="sr-Latn-CS"/>
        </w:rPr>
        <w:t>51, а из тога је средина</w:t>
      </w:r>
      <w:r>
        <w:rPr>
          <w:rFonts w:cs="Arial"/>
          <w:lang w:val="sr-Cyrl-CS" w:eastAsia="sr-Latn-CS"/>
        </w:rPr>
        <w:t xml:space="preserve"> </w:t>
      </w:r>
      <w:r w:rsidRPr="002F26C1">
        <w:rPr>
          <w:rFonts w:cs="Arial"/>
          <w:position w:val="-6"/>
          <w:lang w:val="sr-Cyrl-CS" w:eastAsia="sr-Latn-CS"/>
        </w:rPr>
        <w:object w:dxaOrig="1620" w:dyaOrig="260">
          <v:shape id="_x0000_i1035" type="#_x0000_t75" style="width:80.75pt;height:13.15pt" o:ole="">
            <v:imagedata r:id="rId33" o:title=""/>
          </v:shape>
          <o:OLEObject Type="Embed" ProgID="Equation.3" ShapeID="_x0000_i1035" DrawAspect="Content" ObjectID="_1566933373" r:id="rId34"/>
        </w:object>
      </w:r>
      <w:r w:rsidRPr="00581A83">
        <w:rPr>
          <w:rFonts w:cs="Arial"/>
          <w:lang w:val="sr-Cyrl-CS" w:eastAsia="sr-Latn-CS"/>
        </w:rPr>
        <w:t xml:space="preserve">. Ово је веома близу </w:t>
      </w:r>
      <w:r>
        <w:rPr>
          <w:rFonts w:cs="Arial"/>
          <w:lang w:val="sr-Cyrl-CS" w:eastAsia="sr-Latn-CS"/>
        </w:rPr>
        <w:t>медијане</w:t>
      </w:r>
      <w:r w:rsidRPr="00581A83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581A83">
        <w:rPr>
          <w:rFonts w:cs="Arial"/>
          <w:lang w:val="sr-Cyrl-CS" w:eastAsia="sr-Latn-CS"/>
        </w:rPr>
        <w:t xml:space="preserve">.1, тако да је медијана у 1% средине. То није тако за податке о триглицеридима. </w:t>
      </w:r>
      <w:r>
        <w:rPr>
          <w:rFonts w:cs="Arial"/>
          <w:lang w:val="sv-SE" w:eastAsia="sr-Latn-CS"/>
        </w:rPr>
        <w:t>Медијана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триглицерида</w:t>
      </w:r>
      <w:r w:rsidRPr="00E779C8">
        <w:rPr>
          <w:rFonts w:cs="Arial"/>
          <w:lang w:val="sv-SE" w:eastAsia="sr-Latn-CS"/>
        </w:rPr>
        <w:t xml:space="preserve"> (</w:t>
      </w:r>
      <w:r>
        <w:rPr>
          <w:rFonts w:cs="Arial"/>
          <w:lang w:val="sv-SE" w:eastAsia="sr-Latn-CS"/>
        </w:rPr>
        <w:t>табела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sv-SE" w:eastAsia="sr-Latn-CS"/>
        </w:rPr>
        <w:t xml:space="preserve">.8)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0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sv-SE" w:eastAsia="sr-Latn-CS"/>
        </w:rPr>
        <w:t xml:space="preserve">46, </w:t>
      </w:r>
      <w:r>
        <w:rPr>
          <w:rFonts w:cs="Arial"/>
          <w:lang w:val="sv-SE" w:eastAsia="sr-Latn-CS"/>
        </w:rPr>
        <w:t>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средина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0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sv-SE" w:eastAsia="sr-Latn-CS"/>
        </w:rPr>
        <w:t xml:space="preserve">51, </w:t>
      </w:r>
      <w:r>
        <w:rPr>
          <w:rFonts w:cs="Arial"/>
          <w:lang w:val="sv-SE" w:eastAsia="sr-Latn-CS"/>
        </w:rPr>
        <w:t>што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више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Медијана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10% </w:t>
      </w:r>
      <w:r>
        <w:rPr>
          <w:rFonts w:cs="Arial"/>
          <w:lang w:val="sv-SE" w:eastAsia="sr-Latn-CS"/>
        </w:rPr>
        <w:t>удаљена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средине</w:t>
      </w:r>
      <w:r w:rsidRPr="00E779C8">
        <w:rPr>
          <w:rFonts w:cs="Arial"/>
          <w:lang w:val="sv-SE" w:eastAsia="sr-Latn-CS"/>
        </w:rPr>
        <w:t>. A</w:t>
      </w:r>
      <w:r>
        <w:rPr>
          <w:rFonts w:cs="Arial"/>
          <w:lang w:val="sv-SE" w:eastAsia="sr-Latn-CS"/>
        </w:rPr>
        <w:t>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расподела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симетрична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узорак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средине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медијане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отприлике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искошеној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расподели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неће</w:t>
      </w:r>
      <w:r w:rsidRPr="00E779C8">
        <w:rPr>
          <w:rFonts w:cs="Arial"/>
          <w:lang w:val="sv-SE" w:eastAsia="sr-Latn-CS"/>
        </w:rPr>
        <w:t>. A</w:t>
      </w:r>
      <w:r>
        <w:rPr>
          <w:rFonts w:cs="Arial"/>
          <w:lang w:val="sv-SE" w:eastAsia="sr-Latn-CS"/>
        </w:rPr>
        <w:t>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расподела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искошена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десну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страну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као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серумске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триглицериде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color w:val="auto"/>
          <w:lang w:val="sv-SE" w:eastAsia="sr-Latn-CS"/>
        </w:rPr>
        <w:t>средина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већа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ако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искошена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леву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страну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медијана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већа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што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вредности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реповима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утичу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средину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медијану</w:t>
      </w:r>
      <w:r w:rsidRPr="00E779C8">
        <w:rPr>
          <w:rFonts w:cs="Arial"/>
          <w:lang w:val="sv-SE" w:eastAsia="sr-Latn-CS"/>
        </w:rPr>
        <w:t>.</w:t>
      </w:r>
    </w:p>
    <w:p w:rsidR="00EA3365" w:rsidRPr="00E779C8" w:rsidRDefault="00EA3365" w:rsidP="00EA3365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color w:val="auto"/>
          <w:lang w:val="sv-SE" w:eastAsia="sr-Latn-CS"/>
        </w:rPr>
        <w:t>Средина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много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финије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математичке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особине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медијане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стога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више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методе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поређења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описане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касније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Медијана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веома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дескриптивна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статистика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много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друге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сврхе</w:t>
      </w:r>
      <w:r w:rsidRPr="00E779C8">
        <w:rPr>
          <w:rFonts w:cs="Arial"/>
          <w:lang w:val="sv-SE" w:eastAsia="sr-Latn-CS"/>
        </w:rPr>
        <w:t>.</w:t>
      </w:r>
    </w:p>
    <w:p w:rsidR="00EA3365" w:rsidRPr="00581A83" w:rsidRDefault="00EA3365" w:rsidP="00EA3365">
      <w:pPr>
        <w:pStyle w:val="Heading3"/>
        <w:ind w:left="510" w:hanging="510"/>
        <w:jc w:val="both"/>
        <w:rPr>
          <w:lang w:val="sv-SE" w:eastAsia="sr-Latn-CS"/>
        </w:rPr>
      </w:pPr>
      <w:bookmarkStart w:id="18" w:name="_Toc271986261"/>
      <w:bookmarkStart w:id="19" w:name="_Toc284064844"/>
      <w:r>
        <w:rPr>
          <w:lang w:val="sr-Cyrl-CS" w:eastAsia="sr-Latn-CS"/>
        </w:rPr>
        <w:t>1</w:t>
      </w:r>
      <w:r w:rsidRPr="00581A83">
        <w:rPr>
          <w:lang w:val="sv-SE" w:eastAsia="sr-Latn-CS"/>
        </w:rPr>
        <w:t xml:space="preserve">.7 </w:t>
      </w:r>
      <w:bookmarkEnd w:id="17"/>
      <w:r>
        <w:rPr>
          <w:lang w:val="sr-Cyrl-CS" w:eastAsia="sr-Latn-CS"/>
        </w:rPr>
        <w:t>Варијанса</w:t>
      </w:r>
      <w:r w:rsidRPr="00581A83">
        <w:rPr>
          <w:lang w:val="sv-SE" w:eastAsia="sr-Latn-CS"/>
        </w:rPr>
        <w:t xml:space="preserve">, </w:t>
      </w:r>
      <w:r w:rsidRPr="006934E5">
        <w:rPr>
          <w:lang w:eastAsia="sr-Latn-CS"/>
        </w:rPr>
        <w:t>опсег</w:t>
      </w:r>
      <w:r w:rsidRPr="00581A83">
        <w:rPr>
          <w:lang w:val="sv-SE" w:eastAsia="sr-Latn-CS"/>
        </w:rPr>
        <w:t xml:space="preserve"> </w:t>
      </w:r>
      <w:r w:rsidRPr="006934E5">
        <w:rPr>
          <w:lang w:eastAsia="sr-Latn-CS"/>
        </w:rPr>
        <w:t>и</w:t>
      </w:r>
      <w:r w:rsidRPr="00581A83">
        <w:rPr>
          <w:lang w:val="sv-SE" w:eastAsia="sr-Latn-CS"/>
        </w:rPr>
        <w:t xml:space="preserve"> </w:t>
      </w:r>
      <w:r w:rsidRPr="006934E5">
        <w:rPr>
          <w:lang w:eastAsia="sr-Latn-CS"/>
        </w:rPr>
        <w:t>опсег</w:t>
      </w:r>
      <w:r w:rsidRPr="00581A83">
        <w:rPr>
          <w:lang w:val="sv-SE" w:eastAsia="sr-Latn-CS"/>
        </w:rPr>
        <w:t xml:space="preserve"> </w:t>
      </w:r>
      <w:r w:rsidRPr="006934E5">
        <w:rPr>
          <w:lang w:eastAsia="sr-Latn-CS"/>
        </w:rPr>
        <w:t>међуквартила</w:t>
      </w:r>
      <w:bookmarkEnd w:id="18"/>
      <w:bookmarkEnd w:id="19"/>
      <w:r w:rsidRPr="00581A83">
        <w:rPr>
          <w:lang w:val="sv-SE" w:eastAsia="sr-Latn-CS"/>
        </w:rPr>
        <w:t xml:space="preserve"> </w:t>
      </w:r>
    </w:p>
    <w:p w:rsidR="00EA3365" w:rsidRPr="00E779C8" w:rsidRDefault="00EA3365" w:rsidP="00EA3365">
      <w:pPr>
        <w:spacing w:before="0"/>
        <w:rPr>
          <w:rFonts w:cs="Arial"/>
          <w:b/>
          <w:lang w:val="it-IT" w:eastAsia="sr-Latn-CS"/>
        </w:rPr>
      </w:pPr>
      <w:r>
        <w:rPr>
          <w:rFonts w:cs="Arial"/>
          <w:lang w:val="it-IT" w:eastAsia="sr-Latn-CS"/>
        </w:rPr>
        <w:t>Средина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медијана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положаја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централне</w:t>
      </w:r>
      <w:r w:rsidRPr="00E779C8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тенденције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central tendency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ширења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варијабилност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дисперзија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dispersion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b/>
          <w:lang w:val="it-IT" w:eastAsia="sr-Latn-CS"/>
        </w:rPr>
        <w:t>.</w:t>
      </w:r>
    </w:p>
    <w:p w:rsidR="00EA3365" w:rsidRPr="00E779C8" w:rsidRDefault="00EA3365" w:rsidP="00EA3365">
      <w:pPr>
        <w:spacing w:before="0"/>
        <w:ind w:firstLine="720"/>
        <w:rPr>
          <w:rFonts w:cs="Arial"/>
          <w:lang w:val="sv-SE" w:eastAsia="sr-Latn-CS"/>
        </w:rPr>
      </w:pPr>
      <w:r w:rsidRPr="00E779C8">
        <w:rPr>
          <w:rFonts w:cs="Arial"/>
          <w:lang w:val="it-IT" w:eastAsia="sr-Latn-CS"/>
        </w:rPr>
        <w:t>J</w:t>
      </w:r>
      <w:r>
        <w:rPr>
          <w:rFonts w:cs="Arial"/>
          <w:lang w:val="it-IT" w:eastAsia="sr-Latn-CS"/>
        </w:rPr>
        <w:t>една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очигледна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опсег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range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разлика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најниже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.4, </w:t>
      </w:r>
      <w:r>
        <w:rPr>
          <w:rFonts w:cs="Arial"/>
          <w:lang w:val="it-IT" w:eastAsia="sr-Latn-CS"/>
        </w:rPr>
        <w:t>опсег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5.43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it-IT" w:eastAsia="sr-Latn-CS"/>
        </w:rPr>
        <w:t>-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2.85 = 2.58 </w:t>
      </w:r>
      <w:r>
        <w:rPr>
          <w:rFonts w:cs="Arial"/>
          <w:lang w:val="it-IT" w:eastAsia="sr-Latn-CS"/>
        </w:rPr>
        <w:t>литара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Опсег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представљен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екстрема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sv-SE" w:eastAsia="sr-Latn-CS"/>
        </w:rPr>
        <w:t>2.85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v-SE" w:eastAsia="sr-Latn-CS"/>
        </w:rPr>
        <w:t>-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v-SE" w:eastAsia="sr-Latn-CS"/>
        </w:rPr>
        <w:t xml:space="preserve">5.43 </w:t>
      </w:r>
      <w:r>
        <w:rPr>
          <w:rFonts w:cs="Arial"/>
          <w:lang w:val="sv-SE" w:eastAsia="sr-Latn-CS"/>
        </w:rPr>
        <w:t>литара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пре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него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њихова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разлика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Опсег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дескриптивна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мера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мане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Прво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зависи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екстремних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вредности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разликује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пуно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узорка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Друго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зависи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величине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узорка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Што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узорак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удаљенији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екстреми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Ово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видимо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размотримо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узорак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величине</w:t>
      </w:r>
      <w:r w:rsidRPr="00E779C8">
        <w:rPr>
          <w:rFonts w:cs="Arial"/>
          <w:lang w:val="sv-SE" w:eastAsia="sr-Latn-CS"/>
        </w:rPr>
        <w:t xml:space="preserve"> 2. A</w:t>
      </w:r>
      <w:r>
        <w:rPr>
          <w:rFonts w:cs="Arial"/>
          <w:lang w:val="sv-SE" w:eastAsia="sr-Latn-CS"/>
        </w:rPr>
        <w:t>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додамо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трећи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члан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узорку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опсег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остати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нова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падају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друга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иначе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повећати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опсег</w:t>
      </w:r>
      <w:r w:rsidRPr="00E779C8">
        <w:rPr>
          <w:rFonts w:cs="Arial"/>
          <w:lang w:val="sv-SE" w:eastAsia="sr-Latn-CS"/>
        </w:rPr>
        <w:t>. M</w:t>
      </w:r>
      <w:r>
        <w:rPr>
          <w:rFonts w:cs="Arial"/>
          <w:lang w:val="sv-SE" w:eastAsia="sr-Latn-CS"/>
        </w:rPr>
        <w:t>ожемо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заобићи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други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проблема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помоћу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b/>
          <w:lang w:val="sv-SE" w:eastAsia="sr-Latn-CS"/>
        </w:rPr>
        <w:t>опсега</w:t>
      </w:r>
      <w:r w:rsidRPr="00E779C8">
        <w:rPr>
          <w:rFonts w:cs="Arial"/>
          <w:b/>
          <w:lang w:val="sv-SE" w:eastAsia="sr-Latn-CS"/>
        </w:rPr>
        <w:t xml:space="preserve"> </w:t>
      </w:r>
      <w:r>
        <w:rPr>
          <w:rFonts w:cs="Arial"/>
          <w:b/>
          <w:lang w:val="sv-SE" w:eastAsia="sr-Latn-CS"/>
        </w:rPr>
        <w:t>међуквартила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interquartile range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разлика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првог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трећег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квартила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v-SE" w:eastAsia="sr-Latn-CS"/>
        </w:rPr>
        <w:t>абеле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sv-SE" w:eastAsia="sr-Latn-CS"/>
        </w:rPr>
        <w:t>.4,</w:t>
      </w:r>
      <w:r>
        <w:rPr>
          <w:rFonts w:cs="Arial"/>
          <w:lang w:val="sv-SE" w:eastAsia="sr-Latn-CS"/>
        </w:rPr>
        <w:t xml:space="preserve"> опсег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међуквартила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4.53</w:t>
      </w:r>
      <w:r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sv-SE" w:eastAsia="sr-Latn-CS"/>
        </w:rPr>
        <w:t>-</w:t>
      </w:r>
      <w:r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sv-SE" w:eastAsia="sr-Latn-CS"/>
        </w:rPr>
        <w:t xml:space="preserve">3.54 = 0.99 </w:t>
      </w:r>
      <w:r>
        <w:rPr>
          <w:rFonts w:cs="Arial"/>
          <w:lang w:val="sv-SE" w:eastAsia="sr-Latn-CS"/>
        </w:rPr>
        <w:t>литара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Опсег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међуквартила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такође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често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представљен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екстрема</w:t>
      </w:r>
      <w:r w:rsidRPr="00E779C8">
        <w:rPr>
          <w:rFonts w:cs="Arial"/>
          <w:lang w:val="sv-SE" w:eastAsia="sr-Latn-CS"/>
        </w:rPr>
        <w:t>, 3.54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v-SE" w:eastAsia="sr-Latn-CS"/>
        </w:rPr>
        <w:t>-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v-SE" w:eastAsia="sr-Latn-CS"/>
        </w:rPr>
        <w:t xml:space="preserve">4.53 </w:t>
      </w:r>
      <w:r>
        <w:rPr>
          <w:rFonts w:cs="Arial"/>
          <w:lang w:val="sv-SE" w:eastAsia="sr-Latn-CS"/>
        </w:rPr>
        <w:t>литара</w:t>
      </w:r>
      <w:r w:rsidRPr="00E779C8">
        <w:rPr>
          <w:rFonts w:cs="Arial"/>
          <w:lang w:val="sv-SE" w:eastAsia="sr-Latn-CS"/>
        </w:rPr>
        <w:t xml:space="preserve">. </w:t>
      </w:r>
    </w:p>
    <w:p w:rsidR="00EA3365" w:rsidRPr="00E659D3" w:rsidRDefault="00EA3365" w:rsidP="00EA3365">
      <w:pPr>
        <w:spacing w:before="0" w:after="120"/>
        <w:ind w:firstLine="720"/>
        <w:rPr>
          <w:rFonts w:cs="Arial"/>
          <w:lang w:val="sr-Cyrl-CS" w:eastAsia="sr-Latn-CS"/>
        </w:rPr>
      </w:pPr>
      <w:r w:rsidRPr="00E779C8">
        <w:rPr>
          <w:rFonts w:cs="Arial"/>
          <w:lang w:val="sv-SE" w:eastAsia="sr-Latn-CS"/>
        </w:rPr>
        <w:t>M</w:t>
      </w:r>
      <w:r>
        <w:rPr>
          <w:rFonts w:cs="Arial"/>
          <w:lang w:val="sv-SE" w:eastAsia="sr-Latn-CS"/>
        </w:rPr>
        <w:t>еђутим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опсег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међуквартила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веома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варира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такође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математички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неукротив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Иако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дескриптивна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мера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онај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преферира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сврхе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поређења</w:t>
      </w:r>
      <w:r w:rsidRPr="00E779C8">
        <w:rPr>
          <w:rFonts w:cs="Arial"/>
          <w:lang w:val="sv-SE" w:eastAsia="sr-Latn-CS"/>
        </w:rPr>
        <w:t>.</w:t>
      </w:r>
    </w:p>
    <w:tbl>
      <w:tblPr>
        <w:tblW w:w="9770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770"/>
      </w:tblGrid>
      <w:tr w:rsidR="00EA3365" w:rsidRPr="00480AEE">
        <w:trPr>
          <w:tblCellSpacing w:w="0" w:type="dxa"/>
          <w:jc w:val="center"/>
        </w:trPr>
        <w:tc>
          <w:tcPr>
            <w:tcW w:w="9770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EA3365" w:rsidRPr="001860BA" w:rsidRDefault="00EA3365" w:rsidP="00EA336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1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.9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Одступања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од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средине</w:t>
            </w:r>
            <w:r w:rsidRPr="00E779C8">
              <w:rPr>
                <w:rFonts w:cs="Arial"/>
                <w:lang w:val="it-IT" w:eastAsia="sr-Latn-CS"/>
              </w:rPr>
              <w:t xml:space="preserve"> 9 </w:t>
            </w:r>
            <w:r>
              <w:rPr>
                <w:rFonts w:cs="Arial"/>
                <w:lang w:val="it-IT" w:eastAsia="sr-Latn-CS"/>
              </w:rPr>
              <w:t>посматрања</w:t>
            </w:r>
          </w:p>
        </w:tc>
      </w:tr>
      <w:tr w:rsidR="00EA3365" w:rsidRPr="00480AEE">
        <w:trPr>
          <w:trHeight w:val="795"/>
          <w:tblCellSpacing w:w="0" w:type="dxa"/>
          <w:jc w:val="center"/>
        </w:trPr>
        <w:tc>
          <w:tcPr>
            <w:tcW w:w="9770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9234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69"/>
              <w:gridCol w:w="1673"/>
              <w:gridCol w:w="3016"/>
              <w:gridCol w:w="2976"/>
            </w:tblGrid>
            <w:tr w:rsidR="00EA3365" w:rsidRPr="001860BA">
              <w:trPr>
                <w:tblCellSpacing w:w="0" w:type="dxa"/>
              </w:trPr>
              <w:tc>
                <w:tcPr>
                  <w:tcW w:w="0" w:type="auto"/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Посматрање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</w:t>
                  </w:r>
                  <w:r w:rsidRPr="001860BA">
                    <w:rPr>
                      <w:rFonts w:cs="Arial"/>
                      <w:bCs/>
                      <w:i/>
                      <w:iCs/>
                      <w:color w:val="auto"/>
                      <w:lang w:val="sr-Latn-CS" w:eastAsia="sr-Latn-CS"/>
                    </w:rPr>
                    <w:t>x</w:t>
                  </w:r>
                  <w:r w:rsidRPr="001860BA">
                    <w:rPr>
                      <w:rFonts w:cs="Arial"/>
                      <w:bCs/>
                      <w:i/>
                      <w:iCs/>
                      <w:color w:val="auto"/>
                      <w:vertAlign w:val="subscript"/>
                      <w:lang w:val="sr-Latn-CS" w:eastAsia="sr-Latn-CS"/>
                    </w:rPr>
                    <w:t>i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 xml:space="preserve">Вредност </w:t>
                  </w:r>
                  <w:r w:rsidRPr="00217F20">
                    <w:rPr>
                      <w:rFonts w:cs="Arial"/>
                      <w:bCs/>
                      <w:color w:val="auto"/>
                      <w:position w:val="-10"/>
                      <w:lang w:val="sr-Cyrl-CS" w:eastAsia="sr-Latn-CS"/>
                    </w:rPr>
                    <w:object w:dxaOrig="279" w:dyaOrig="340">
                      <v:shape id="_x0000_i1036" type="#_x0000_t75" style="width:13.75pt;height:16.9pt" o:ole="">
                        <v:imagedata r:id="rId35" o:title=""/>
                      </v:shape>
                      <o:OLEObject Type="Embed" ProgID="Equation.3" ShapeID="_x0000_i1036" DrawAspect="Content" ObjectID="_1566933374" r:id="rId36"/>
                    </w:object>
                  </w:r>
                </w:p>
              </w:tc>
              <w:tc>
                <w:tcPr>
                  <w:tcW w:w="3016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Одступање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од средине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</w:t>
                  </w:r>
                  <w:r w:rsidRPr="001860BA">
                    <w:rPr>
                      <w:rFonts w:cs="Arial"/>
                      <w:bCs/>
                      <w:i/>
                      <w:iCs/>
                      <w:color w:val="auto"/>
                      <w:lang w:val="sr-Latn-CS" w:eastAsia="sr-Latn-CS"/>
                    </w:rPr>
                    <w:t>x</w:t>
                  </w:r>
                  <w:r w:rsidRPr="001860BA">
                    <w:rPr>
                      <w:rFonts w:cs="Arial"/>
                      <w:bCs/>
                      <w:i/>
                      <w:iCs/>
                      <w:color w:val="auto"/>
                      <w:vertAlign w:val="subscript"/>
                      <w:lang w:val="sr-Latn-CS" w:eastAsia="sr-Latn-CS"/>
                    </w:rPr>
                    <w:t>i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- </w:t>
                  </w:r>
                  <w:r w:rsidRPr="006E723D">
                    <w:rPr>
                      <w:position w:val="-4"/>
                      <w:lang w:eastAsia="sr-Latn-CS"/>
                    </w:rPr>
                    <w:object w:dxaOrig="200" w:dyaOrig="279">
                      <v:shape id="_x0000_i1037" type="#_x0000_t75" style="width:10pt;height:13.75pt" o:ole="">
                        <v:imagedata r:id="rId29" o:title=""/>
                      </v:shape>
                      <o:OLEObject Type="Embed" ProgID="Equation.3" ShapeID="_x0000_i1037" DrawAspect="Content" ObjectID="_1566933375" r:id="rId37"/>
                    </w:object>
                  </w:r>
                </w:p>
              </w:tc>
              <w:tc>
                <w:tcPr>
                  <w:tcW w:w="2976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Квадрати одступања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 w:rsidRPr="001860BA">
                    <w:rPr>
                      <w:rFonts w:cs="Arial"/>
                      <w:bCs/>
                      <w:i/>
                      <w:iCs/>
                      <w:color w:val="auto"/>
                      <w:lang w:val="sr-Latn-CS" w:eastAsia="sr-Latn-CS"/>
                    </w:rPr>
                    <w:t>x</w:t>
                  </w:r>
                  <w:r w:rsidRPr="001860BA">
                    <w:rPr>
                      <w:rFonts w:cs="Arial"/>
                      <w:bCs/>
                      <w:i/>
                      <w:iCs/>
                      <w:color w:val="auto"/>
                      <w:vertAlign w:val="subscript"/>
                      <w:lang w:val="sr-Latn-CS" w:eastAsia="sr-Latn-CS"/>
                    </w:rPr>
                    <w:t>i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- </w:t>
                  </w:r>
                  <w:r w:rsidRPr="006E723D">
                    <w:rPr>
                      <w:position w:val="-4"/>
                      <w:lang w:eastAsia="sr-Latn-CS"/>
                    </w:rPr>
                    <w:object w:dxaOrig="200" w:dyaOrig="279">
                      <v:shape id="_x0000_i1038" type="#_x0000_t75" style="width:10pt;height:13.75pt" o:ole="">
                        <v:imagedata r:id="rId29" o:title=""/>
                      </v:shape>
                      <o:OLEObject Type="Embed" ProgID="Equation.3" ShapeID="_x0000_i1038" DrawAspect="Content" ObjectID="_1566933376" r:id="rId38"/>
                    </w:objec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  <w:r w:rsidRPr="001860BA">
                    <w:rPr>
                      <w:rFonts w:cs="Arial"/>
                      <w:bCs/>
                      <w:color w:val="auto"/>
                      <w:vertAlign w:val="superscript"/>
                      <w:lang w:val="sr-Latn-CS" w:eastAsia="sr-Latn-CS"/>
                    </w:rPr>
                    <w:t>2</w:t>
                  </w:r>
                </w:p>
              </w:tc>
            </w:tr>
            <w:tr w:rsidR="00EA336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217F20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4</w:t>
                  </w:r>
                </w:p>
              </w:tc>
              <w:tc>
                <w:tcPr>
                  <w:tcW w:w="301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-2</w:t>
                  </w:r>
                </w:p>
              </w:tc>
              <w:tc>
                <w:tcPr>
                  <w:tcW w:w="29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</w:t>
                  </w:r>
                </w:p>
              </w:tc>
            </w:tr>
            <w:tr w:rsidR="00EA336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217F20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9</w:t>
                  </w:r>
                </w:p>
              </w:tc>
              <w:tc>
                <w:tcPr>
                  <w:tcW w:w="301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-1</w:t>
                  </w:r>
                </w:p>
              </w:tc>
              <w:tc>
                <w:tcPr>
                  <w:tcW w:w="29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</w:t>
                  </w:r>
                </w:p>
              </w:tc>
            </w:tr>
            <w:tr w:rsidR="00EA336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217F20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81</w:t>
                  </w:r>
                </w:p>
              </w:tc>
              <w:tc>
                <w:tcPr>
                  <w:tcW w:w="301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29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25</w:t>
                  </w:r>
                </w:p>
              </w:tc>
            </w:tr>
            <w:tr w:rsidR="00EA336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lastRenderedPageBreak/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217F20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25</w:t>
                  </w:r>
                </w:p>
              </w:tc>
              <w:tc>
                <w:tcPr>
                  <w:tcW w:w="301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29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</w:t>
                  </w:r>
                </w:p>
              </w:tc>
            </w:tr>
            <w:tr w:rsidR="00EA336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217F20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16</w:t>
                  </w:r>
                </w:p>
              </w:tc>
              <w:tc>
                <w:tcPr>
                  <w:tcW w:w="301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29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</w:tr>
            <w:tr w:rsidR="00EA336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301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-4</w:t>
                  </w:r>
                </w:p>
              </w:tc>
              <w:tc>
                <w:tcPr>
                  <w:tcW w:w="29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</w:t>
                  </w:r>
                </w:p>
              </w:tc>
            </w:tr>
            <w:tr w:rsidR="00EA336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3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301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29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</w:t>
                  </w:r>
                </w:p>
              </w:tc>
            </w:tr>
            <w:tr w:rsidR="00EA336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217F20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9</w:t>
                  </w:r>
                </w:p>
              </w:tc>
              <w:tc>
                <w:tcPr>
                  <w:tcW w:w="301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-1</w:t>
                  </w:r>
                </w:p>
              </w:tc>
              <w:tc>
                <w:tcPr>
                  <w:tcW w:w="29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</w:t>
                  </w:r>
                </w:p>
              </w:tc>
            </w:tr>
            <w:tr w:rsidR="00EA336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217F20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16</w:t>
                  </w:r>
                </w:p>
              </w:tc>
              <w:tc>
                <w:tcPr>
                  <w:tcW w:w="301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29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</w:tr>
            <w:tr w:rsidR="00EA336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217F20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 w:rsidRPr="000761CF">
                    <w:rPr>
                      <w:rFonts w:cs="Arial"/>
                      <w:bCs/>
                      <w:color w:val="auto"/>
                      <w:position w:val="-10"/>
                      <w:lang w:val="sr-Cyrl-CS" w:eastAsia="sr-Latn-CS"/>
                    </w:rPr>
                    <w:object w:dxaOrig="400" w:dyaOrig="340">
                      <v:shape id="_x0000_i1039" type="#_x0000_t75" style="width:20.05pt;height:16.9pt" o:ole="">
                        <v:imagedata r:id="rId39" o:title=""/>
                      </v:shape>
                      <o:OLEObject Type="Embed" ProgID="Equation.3" ShapeID="_x0000_i1039" DrawAspect="Content" ObjectID="_1566933377" r:id="rId40"/>
                    </w:objec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=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196</w:t>
                  </w:r>
                </w:p>
              </w:tc>
              <w:tc>
                <w:tcPr>
                  <w:tcW w:w="301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29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A3365" w:rsidRPr="001860BA" w:rsidRDefault="00EA3365" w:rsidP="00EA336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52</w:t>
                  </w:r>
                </w:p>
              </w:tc>
            </w:tr>
          </w:tbl>
          <w:p w:rsidR="00EA3365" w:rsidRPr="001860BA" w:rsidRDefault="00EA3365" w:rsidP="00EA336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EA3365" w:rsidRDefault="00EA3365" w:rsidP="00EA3365">
      <w:pPr>
        <w:spacing w:before="0"/>
        <w:ind w:firstLine="720"/>
        <w:rPr>
          <w:rFonts w:cs="Arial"/>
          <w:lang w:val="it-IT" w:eastAsia="sr-Latn-CS"/>
        </w:rPr>
      </w:pPr>
      <w:bookmarkStart w:id="20" w:name="_Toc261678938"/>
    </w:p>
    <w:p w:rsidR="00EA3365" w:rsidRPr="00E779C8" w:rsidRDefault="00EA3365" w:rsidP="00EA3365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Најчешће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коришћене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дисперзије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 w:rsidRPr="003E3D02">
        <w:rPr>
          <w:rFonts w:cs="Arial"/>
          <w:b/>
          <w:lang w:val="sr-Cyrl-CS" w:eastAsia="sr-Latn-CS"/>
        </w:rPr>
        <w:t>варијанса</w:t>
      </w:r>
      <w:r>
        <w:rPr>
          <w:rFonts w:cs="Arial"/>
          <w:lang w:val="sr-Cyrl-CS" w:eastAsia="sr-Latn-CS"/>
        </w:rPr>
        <w:t xml:space="preserve"> (</w:t>
      </w:r>
      <w:r w:rsidRPr="003E3D02">
        <w:rPr>
          <w:rFonts w:cs="Arial"/>
          <w:b/>
          <w:color w:val="auto"/>
          <w:lang w:val="sr-Latn-CS" w:eastAsia="sr-Latn-CS"/>
        </w:rPr>
        <w:t>variance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 w:rsidRPr="003E3D02">
        <w:rPr>
          <w:rFonts w:cs="Arial"/>
          <w:b/>
          <w:lang w:val="it-IT" w:eastAsia="sr-Latn-CS"/>
        </w:rPr>
        <w:t>стандардн</w:t>
      </w:r>
      <w:r w:rsidR="00812594">
        <w:rPr>
          <w:rFonts w:cs="Arial"/>
          <w:b/>
          <w:lang w:val="sr-Cyrl-CS" w:eastAsia="sr-Latn-CS"/>
        </w:rPr>
        <w:t>а</w:t>
      </w:r>
      <w:r w:rsidRPr="003E3D02">
        <w:rPr>
          <w:rFonts w:cs="Arial"/>
          <w:b/>
          <w:lang w:val="it-IT" w:eastAsia="sr-Latn-CS"/>
        </w:rPr>
        <w:t xml:space="preserve"> </w:t>
      </w:r>
      <w:r w:rsidR="00821AFD">
        <w:rPr>
          <w:rFonts w:cs="Arial"/>
          <w:b/>
          <w:lang w:val="sr-Cyrl-CS" w:eastAsia="sr-Latn-CS"/>
        </w:rPr>
        <w:t>де</w:t>
      </w:r>
      <w:r w:rsidR="00812594">
        <w:rPr>
          <w:rFonts w:cs="Arial"/>
          <w:b/>
          <w:lang w:val="sr-Cyrl-CS" w:eastAsia="sr-Latn-CS"/>
        </w:rPr>
        <w:t>в</w:t>
      </w:r>
      <w:r w:rsidR="00821AFD">
        <w:rPr>
          <w:rFonts w:cs="Arial"/>
          <w:b/>
          <w:lang w:val="sr-Cyrl-CS" w:eastAsia="sr-Latn-CS"/>
        </w:rPr>
        <w:t>ија</w:t>
      </w:r>
      <w:r w:rsidR="00812594">
        <w:rPr>
          <w:rFonts w:cs="Arial"/>
          <w:b/>
          <w:lang w:val="sr-Cyrl-CS" w:eastAsia="sr-Latn-CS"/>
        </w:rPr>
        <w:t>ција или</w:t>
      </w:r>
      <w:r w:rsidR="00821AFD">
        <w:rPr>
          <w:rFonts w:cs="Arial"/>
          <w:b/>
          <w:lang w:val="it-IT" w:eastAsia="sr-Latn-CS"/>
        </w:rPr>
        <w:t xml:space="preserve"> </w:t>
      </w:r>
      <w:r w:rsidR="007D356E" w:rsidRPr="003E3D02">
        <w:rPr>
          <w:rFonts w:cs="Arial"/>
          <w:b/>
          <w:lang w:val="it-IT" w:eastAsia="sr-Latn-CS"/>
        </w:rPr>
        <w:t>стандардн</w:t>
      </w:r>
      <w:r w:rsidR="007D356E">
        <w:rPr>
          <w:rFonts w:cs="Arial"/>
          <w:b/>
          <w:lang w:val="sr-Cyrl-CS" w:eastAsia="sr-Latn-CS"/>
        </w:rPr>
        <w:t>о</w:t>
      </w:r>
      <w:r w:rsidR="007D356E" w:rsidRPr="003E3D02">
        <w:rPr>
          <w:rFonts w:cs="Arial"/>
          <w:b/>
          <w:lang w:val="it-IT" w:eastAsia="sr-Latn-CS"/>
        </w:rPr>
        <w:t xml:space="preserve"> </w:t>
      </w:r>
      <w:r w:rsidRPr="003E3D02">
        <w:rPr>
          <w:rFonts w:cs="Arial"/>
          <w:b/>
          <w:lang w:val="it-IT" w:eastAsia="sr-Latn-CS"/>
        </w:rPr>
        <w:t>одступањ</w:t>
      </w:r>
      <w:r w:rsidRPr="003E3D02">
        <w:rPr>
          <w:rFonts w:cs="Arial"/>
          <w:b/>
          <w:lang w:val="sr-Cyrl-CS" w:eastAsia="sr-Latn-CS"/>
        </w:rPr>
        <w:t>е</w:t>
      </w:r>
      <w:r>
        <w:rPr>
          <w:rFonts w:cs="Arial"/>
          <w:lang w:val="sr-Cyrl-CS" w:eastAsia="sr-Latn-CS"/>
        </w:rPr>
        <w:t xml:space="preserve"> (</w:t>
      </w:r>
      <w:r w:rsidRPr="003E3D02">
        <w:rPr>
          <w:rFonts w:cs="Arial"/>
          <w:b/>
          <w:color w:val="auto"/>
          <w:lang w:val="sr-Latn-CS" w:eastAsia="sr-Latn-CS"/>
        </w:rPr>
        <w:t>standard deviation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>. M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почињемо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израчунавањем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зван</w:t>
      </w:r>
      <w:r>
        <w:rPr>
          <w:rFonts w:cs="Arial"/>
          <w:lang w:val="sr-Cyrl-CS" w:eastAsia="sr-Latn-CS"/>
        </w:rPr>
        <w:t>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одступање</w:t>
      </w:r>
      <w:r w:rsidRPr="00E779C8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од</w:t>
      </w:r>
      <w:r w:rsidRPr="00E779C8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средине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deviations from the mean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>.9. A</w:t>
      </w:r>
      <w:r>
        <w:rPr>
          <w:rFonts w:cs="Arial"/>
          <w:lang w:val="it-IT" w:eastAsia="sr-Latn-CS"/>
        </w:rPr>
        <w:t>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широко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раштркани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многа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далеко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средине</w:t>
      </w:r>
      <w:r w:rsidRPr="00E779C8">
        <w:rPr>
          <w:rFonts w:cs="Arial"/>
          <w:lang w:val="it-IT" w:eastAsia="sr-Latn-CS"/>
        </w:rPr>
        <w:t xml:space="preserve"> </w:t>
      </w:r>
      <w:r w:rsidRPr="006E723D">
        <w:rPr>
          <w:position w:val="-4"/>
          <w:lang w:eastAsia="sr-Latn-CS"/>
        </w:rPr>
        <w:object w:dxaOrig="200" w:dyaOrig="279">
          <v:shape id="_x0000_i1040" type="#_x0000_t75" style="width:10pt;height:13.75pt" o:ole="">
            <v:imagedata r:id="rId29" o:title=""/>
          </v:shape>
          <o:OLEObject Type="Embed" ProgID="Equation.3" ShapeID="_x0000_i1040" DrawAspect="Content" ObjectID="_1566933378" r:id="rId41"/>
        </w:objec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одступања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val="it-IT" w:eastAsia="sr-Latn-CS"/>
        </w:rPr>
        <w:t xml:space="preserve"> -</w:t>
      </w:r>
      <w:r w:rsidRPr="006E723D">
        <w:rPr>
          <w:position w:val="-4"/>
          <w:lang w:eastAsia="sr-Latn-CS"/>
        </w:rPr>
        <w:object w:dxaOrig="200" w:dyaOrig="279">
          <v:shape id="_x0000_i1041" type="#_x0000_t75" style="width:10pt;height:13.75pt" o:ole="">
            <v:imagedata r:id="rId29" o:title=""/>
          </v:shape>
          <o:OLEObject Type="Embed" ProgID="Equation.3" ShapeID="_x0000_i1041" DrawAspect="Content" ObjectID="_1566933379" r:id="rId42"/>
        </w:objec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велика</w:t>
      </w:r>
      <w:r w:rsidRPr="00E779C8">
        <w:rPr>
          <w:rFonts w:cs="Arial"/>
          <w:lang w:val="it-IT" w:eastAsia="sr-Latn-CS"/>
        </w:rPr>
        <w:t>. A</w:t>
      </w:r>
      <w:r>
        <w:rPr>
          <w:rFonts w:cs="Arial"/>
          <w:lang w:val="it-IT" w:eastAsia="sr-Latn-CS"/>
        </w:rPr>
        <w:t>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уско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раштркани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врло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далеко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</w:t>
      </w:r>
      <w:r>
        <w:rPr>
          <w:rFonts w:cs="Arial"/>
          <w:lang w:val="sr-Cyrl-CS" w:eastAsia="sr-Latn-CS"/>
        </w:rPr>
        <w:t>ало</w:t>
      </w:r>
      <w:r w:rsidRPr="00910E79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одступања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val="it-IT" w:eastAsia="sr-Latn-CS"/>
        </w:rPr>
        <w:t xml:space="preserve"> -</w:t>
      </w:r>
      <w:r w:rsidRPr="006E723D">
        <w:rPr>
          <w:position w:val="-4"/>
          <w:lang w:eastAsia="sr-Latn-CS"/>
        </w:rPr>
        <w:object w:dxaOrig="200" w:dyaOrig="279">
          <v:shape id="_x0000_i1042" type="#_x0000_t75" style="width:10pt;height:13.75pt" o:ole="">
            <v:imagedata r:id="rId29" o:title=""/>
          </v:shape>
          <o:OLEObject Type="Embed" ProgID="Equation.3" ShapeID="_x0000_i1042" DrawAspect="Content" ObjectID="_1566933380" r:id="rId43"/>
        </w:objec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врста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просечног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одступања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мерење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растурања или </w:t>
      </w:r>
      <w:r>
        <w:rPr>
          <w:rFonts w:cs="Arial"/>
          <w:lang w:val="it-IT" w:eastAsia="sr-Latn-CS"/>
        </w:rPr>
        <w:t>раштрканости</w:t>
      </w:r>
      <w:r w:rsidRPr="00E779C8">
        <w:rPr>
          <w:rFonts w:cs="Arial"/>
          <w:lang w:val="it-IT" w:eastAsia="sr-Latn-CS"/>
        </w:rPr>
        <w:t>. A</w:t>
      </w:r>
      <w:r>
        <w:rPr>
          <w:rFonts w:cs="Arial"/>
          <w:lang w:val="it-IT" w:eastAsia="sr-Latn-CS"/>
        </w:rPr>
        <w:t>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саберемо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одступања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заједно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добијамо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јер</w:t>
      </w:r>
      <w:r w:rsidRPr="00E779C8"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eastAsia="sr-Latn-CS"/>
        </w:rPr>
        <w:t>Σ</w:t>
      </w:r>
      <w:r w:rsidRPr="00E779C8">
        <w:rPr>
          <w:rFonts w:cs="Arial"/>
          <w:lang w:val="it-IT" w:eastAsia="sr-Latn-CS"/>
        </w:rPr>
        <w:t>(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val="it-IT" w:eastAsia="sr-Latn-CS"/>
        </w:rPr>
        <w:t xml:space="preserve"> - </w:t>
      </w:r>
      <w:r w:rsidRPr="006E723D">
        <w:rPr>
          <w:position w:val="-4"/>
          <w:lang w:eastAsia="sr-Latn-CS"/>
        </w:rPr>
        <w:object w:dxaOrig="200" w:dyaOrig="279">
          <v:shape id="_x0000_i1043" type="#_x0000_t75" style="width:10pt;height:13.75pt" o:ole="">
            <v:imagedata r:id="rId29" o:title=""/>
          </v:shape>
          <o:OLEObject Type="Embed" ProgID="Equation.3" ShapeID="_x0000_i1043" DrawAspect="Content" ObjectID="_1566933381" r:id="rId44"/>
        </w:object>
      </w:r>
      <w:r w:rsidRPr="00E779C8">
        <w:rPr>
          <w:rFonts w:cs="Arial"/>
          <w:lang w:val="it-IT" w:eastAsia="sr-Latn-CS"/>
        </w:rPr>
        <w:t xml:space="preserve">) = </w:t>
      </w:r>
      <w:r w:rsidRPr="00E779C8">
        <w:rPr>
          <w:rFonts w:cs="Arial"/>
          <w:lang w:eastAsia="sr-Latn-CS"/>
        </w:rPr>
        <w:t>Σ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480AEE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 - </w:t>
      </w:r>
      <w:r w:rsidRPr="00E779C8">
        <w:rPr>
          <w:rFonts w:cs="Arial"/>
          <w:lang w:eastAsia="sr-Latn-CS"/>
        </w:rPr>
        <w:t>Σ</w:t>
      </w:r>
      <w:r w:rsidRPr="006E723D">
        <w:rPr>
          <w:position w:val="-4"/>
          <w:lang w:eastAsia="sr-Latn-CS"/>
        </w:rPr>
        <w:object w:dxaOrig="200" w:dyaOrig="279">
          <v:shape id="_x0000_i1044" type="#_x0000_t75" style="width:10pt;height:13.75pt" o:ole="">
            <v:imagedata r:id="rId29" o:title=""/>
          </v:shape>
          <o:OLEObject Type="Embed" ProgID="Equation.3" ShapeID="_x0000_i1044" DrawAspect="Content" ObjectID="_1566933382" r:id="rId45"/>
        </w:object>
      </w:r>
      <w:r w:rsidRPr="00E779C8">
        <w:rPr>
          <w:rFonts w:cs="Arial"/>
          <w:lang w:val="it-IT" w:eastAsia="sr-Latn-CS"/>
        </w:rPr>
        <w:t xml:space="preserve"> = </w:t>
      </w:r>
      <w:r w:rsidRPr="00E779C8">
        <w:rPr>
          <w:rFonts w:cs="Arial"/>
          <w:lang w:eastAsia="sr-Latn-CS"/>
        </w:rPr>
        <w:t>Σ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- </w:t>
      </w:r>
      <w:r w:rsidRPr="00E978FE">
        <w:rPr>
          <w:rFonts w:cs="Arial"/>
          <w:i/>
          <w:lang w:val="it-IT" w:eastAsia="sr-Latn-CS"/>
        </w:rPr>
        <w:t>n</w:t>
      </w:r>
      <w:r w:rsidRPr="006E723D">
        <w:rPr>
          <w:position w:val="-4"/>
          <w:lang w:eastAsia="sr-Latn-CS"/>
        </w:rPr>
        <w:object w:dxaOrig="200" w:dyaOrig="279">
          <v:shape id="_x0000_i1045" type="#_x0000_t75" style="width:10pt;height:13.75pt" o:ole="">
            <v:imagedata r:id="rId29" o:title=""/>
          </v:shape>
          <o:OLEObject Type="Embed" ProgID="Equation.3" ShapeID="_x0000_i1045" DrawAspect="Content" ObjectID="_1566933383" r:id="rId46"/>
        </w:objec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n</w:t>
      </w:r>
      <w:r w:rsidRPr="006E723D">
        <w:rPr>
          <w:position w:val="-4"/>
          <w:lang w:eastAsia="sr-Latn-CS"/>
        </w:rPr>
        <w:object w:dxaOrig="200" w:dyaOrig="279">
          <v:shape id="_x0000_i1046" type="#_x0000_t75" style="width:10pt;height:13.75pt" o:ole="">
            <v:imagedata r:id="rId29" o:title=""/>
          </v:shape>
          <o:OLEObject Type="Embed" ProgID="Equation.3" ShapeID="_x0000_i1046" DrawAspect="Content" ObjectID="_1566933384" r:id="rId47"/>
        </w:object>
      </w:r>
      <w:r w:rsidRPr="00E779C8">
        <w:rPr>
          <w:rFonts w:cs="Arial"/>
          <w:lang w:val="it-IT" w:eastAsia="sr-Latn-CS"/>
        </w:rPr>
        <w:t xml:space="preserve"> = </w:t>
      </w:r>
      <w:r w:rsidRPr="00E779C8">
        <w:rPr>
          <w:rFonts w:cs="Arial"/>
          <w:lang w:eastAsia="sr-Latn-CS"/>
        </w:rPr>
        <w:t>Σ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Уместо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тога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одступања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затим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саберемо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.9.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уклања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ефекат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знака</w:t>
      </w:r>
      <w:r w:rsidRPr="00E779C8">
        <w:rPr>
          <w:rFonts w:cs="Arial"/>
          <w:lang w:val="it-IT" w:eastAsia="sr-Latn-CS"/>
        </w:rPr>
        <w:t xml:space="preserve">; </w:t>
      </w:r>
      <w:r>
        <w:rPr>
          <w:rFonts w:cs="Arial"/>
          <w:lang w:val="it-IT" w:eastAsia="sr-Latn-CS"/>
        </w:rPr>
        <w:t>меримо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величину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одступања</w:t>
      </w:r>
      <w:r>
        <w:rPr>
          <w:rFonts w:cs="Arial"/>
          <w:lang w:val="sr-Cyrl-CS" w:eastAsia="sr-Latn-CS"/>
        </w:rPr>
        <w:t>, 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смер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>
        <w:rPr>
          <w:rFonts w:cs="Arial"/>
          <w:lang w:val="sr-Cyrl-CS" w:eastAsia="sr-Latn-CS"/>
        </w:rPr>
        <w:t xml:space="preserve"> да је</w:t>
      </w:r>
      <w:r w:rsidRPr="00E779C8"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eastAsia="sr-Latn-CS"/>
        </w:rPr>
        <w:t>Σ</w:t>
      </w:r>
      <w:r w:rsidRPr="00E779C8">
        <w:rPr>
          <w:rFonts w:cs="Arial"/>
          <w:lang w:val="it-IT" w:eastAsia="sr-Latn-CS"/>
        </w:rPr>
        <w:t>(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val="it-IT" w:eastAsia="sr-Latn-CS"/>
        </w:rPr>
        <w:t xml:space="preserve"> -</w:t>
      </w:r>
      <w:r w:rsidRPr="006E723D">
        <w:rPr>
          <w:position w:val="-4"/>
          <w:lang w:eastAsia="sr-Latn-CS"/>
        </w:rPr>
        <w:object w:dxaOrig="200" w:dyaOrig="279">
          <v:shape id="_x0000_i1047" type="#_x0000_t75" style="width:10pt;height:13.75pt" o:ole="">
            <v:imagedata r:id="rId29" o:title=""/>
          </v:shape>
          <o:OLEObject Type="Embed" ProgID="Equation.3" ShapeID="_x0000_i1047" DrawAspect="Content" ObjectID="_1566933385" r:id="rId48"/>
        </w:object>
      </w:r>
      <w:r w:rsidRPr="00E779C8">
        <w:rPr>
          <w:rFonts w:cs="Arial"/>
          <w:lang w:val="it-IT" w:eastAsia="sr-Latn-CS"/>
        </w:rPr>
        <w:t>)</w:t>
      </w:r>
      <w:r w:rsidRPr="00E779C8">
        <w:rPr>
          <w:rFonts w:cs="Arial"/>
          <w:color w:val="auto"/>
          <w:vertAlign w:val="superscript"/>
          <w:lang w:val="sr-Latn-CS" w:eastAsia="sr-Latn-CS"/>
        </w:rPr>
        <w:t>2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примеру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једнак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 52, </w:t>
      </w:r>
      <w:r>
        <w:rPr>
          <w:rFonts w:cs="Arial"/>
          <w:lang w:val="sr-Cyrl-CS" w:eastAsia="sr-Latn-CS"/>
        </w:rPr>
        <w:t>и зове 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збир</w:t>
      </w:r>
      <w:r w:rsidRPr="00E779C8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квадрата</w:t>
      </w:r>
      <w:r w:rsidRPr="00E779C8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око</w:t>
      </w:r>
      <w:r w:rsidRPr="00E779C8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средине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sum of squares about the mean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обично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скраћено</w:t>
      </w:r>
      <w:r w:rsidRPr="00E779C8">
        <w:rPr>
          <w:rFonts w:cs="Arial"/>
          <w:lang w:val="it-IT" w:eastAsia="sr-Latn-CS"/>
        </w:rPr>
        <w:t xml:space="preserve"> </w:t>
      </w:r>
      <w:r w:rsidRPr="00F766ED">
        <w:rPr>
          <w:rFonts w:cs="Arial"/>
          <w:b/>
          <w:lang w:val="it-IT" w:eastAsia="sr-Latn-CS"/>
        </w:rPr>
        <w:t>збир квадрата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sum of squares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>.</w:t>
      </w:r>
    </w:p>
    <w:p w:rsidR="00EA3365" w:rsidRDefault="00EA3365" w:rsidP="00EA3365">
      <w:pPr>
        <w:spacing w:before="0"/>
        <w:ind w:firstLine="720"/>
        <w:rPr>
          <w:rFonts w:cs="Arial"/>
          <w:lang w:val="it-IT" w:eastAsia="sr-Latn-CS"/>
        </w:rPr>
      </w:pPr>
      <w:r w:rsidRPr="00E779C8">
        <w:rPr>
          <w:rFonts w:cs="Arial"/>
          <w:lang w:val="it-IT" w:eastAsia="sr-Latn-CS"/>
        </w:rPr>
        <w:t>J</w:t>
      </w:r>
      <w:r>
        <w:rPr>
          <w:rFonts w:cs="Arial"/>
          <w:lang w:val="it-IT" w:eastAsia="sr-Latn-CS"/>
        </w:rPr>
        <w:t>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 растурања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Желимо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пронађемо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врсту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просечног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одступања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доводи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проблема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желимо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просечно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одступање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делимо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суму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>
        <w:rPr>
          <w:rFonts w:cs="Arial"/>
          <w:lang w:val="sr-Cyrl-CS" w:eastAsia="sr-Latn-CS"/>
        </w:rPr>
        <w:t xml:space="preserve"> </w:t>
      </w:r>
      <w:r w:rsidRPr="000F7FA5">
        <w:rPr>
          <w:rFonts w:cs="Arial"/>
          <w:position w:val="-4"/>
          <w:lang w:val="it-IT" w:eastAsia="sr-Latn-CS"/>
        </w:rPr>
        <w:object w:dxaOrig="380" w:dyaOrig="240">
          <v:shape id="_x0000_i1048" type="#_x0000_t75" style="width:18.8pt;height:11.9pt" o:ole="">
            <v:imagedata r:id="rId49" o:title=""/>
          </v:shape>
          <o:OLEObject Type="Embed" ProgID="Equation.3" ShapeID="_x0000_i1048" DrawAspect="Content" ObjectID="_1566933386" r:id="rId50"/>
        </w:objec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>
        <w:rPr>
          <w:rFonts w:cs="Arial"/>
          <w:lang w:val="sr-Cyrl-CS" w:eastAsia="sr-Latn-CS"/>
        </w:rPr>
        <w:t xml:space="preserve"> 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n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очигледна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ствар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урадити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збуњује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статистичких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Разлог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заинтересовани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раштрканости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популације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узорак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пропорционалан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n</w:t>
      </w:r>
      <w:r w:rsidRPr="00E779C8">
        <w:rPr>
          <w:rFonts w:cs="Arial"/>
          <w:lang w:val="it-IT" w:eastAsia="sr-Latn-CS"/>
        </w:rPr>
        <w:t xml:space="preserve">-1. </w:t>
      </w:r>
      <w:r>
        <w:rPr>
          <w:rFonts w:cs="Arial"/>
          <w:lang w:val="it-IT" w:eastAsia="sr-Latn-CS"/>
        </w:rPr>
        <w:t>Дељење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n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довело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до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малих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узорака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варијабилности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</w:t>
      </w:r>
      <w:r>
        <w:rPr>
          <w:rFonts w:cs="Arial"/>
          <w:lang w:val="sr-Cyrl-CS" w:eastAsia="sr-Latn-CS"/>
        </w:rPr>
        <w:t>ци</w:t>
      </w:r>
      <w:r w:rsidRPr="00E779C8">
        <w:rPr>
          <w:rFonts w:cs="Arial"/>
          <w:lang w:val="it-IT" w:eastAsia="sr-Latn-CS"/>
        </w:rPr>
        <w:t>. M</w:t>
      </w:r>
      <w:r>
        <w:rPr>
          <w:rFonts w:cs="Arial"/>
          <w:lang w:val="it-IT" w:eastAsia="sr-Latn-CS"/>
        </w:rPr>
        <w:t>инималан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варијабилност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2, </w:t>
      </w:r>
      <w:r>
        <w:rPr>
          <w:rFonts w:cs="Arial"/>
          <w:lang w:val="it-IT" w:eastAsia="sr-Latn-CS"/>
        </w:rPr>
        <w:t>једно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разнолики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>. A</w:t>
      </w:r>
      <w:r>
        <w:rPr>
          <w:rFonts w:cs="Arial"/>
          <w:lang w:val="it-IT" w:eastAsia="sr-Latn-CS"/>
        </w:rPr>
        <w:t>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употребимо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n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делилац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i/>
          <w:lang w:val="it-IT" w:eastAsia="sr-Latn-CS"/>
        </w:rPr>
        <w:t xml:space="preserve"> </w:t>
      </w:r>
      <w:r w:rsidRPr="00064503">
        <w:rPr>
          <w:rFonts w:cs="Arial"/>
          <w:i/>
          <w:position w:val="-4"/>
          <w:lang w:val="it-IT" w:eastAsia="sr-Latn-CS"/>
        </w:rPr>
        <w:object w:dxaOrig="480" w:dyaOrig="240">
          <v:shape id="_x0000_i1049" type="#_x0000_t75" style="width:23.8pt;height:11.9pt" o:ole="">
            <v:imagedata r:id="rId51" o:title=""/>
          </v:shape>
          <o:OLEObject Type="Embed" ProgID="Equation.3" ShapeID="_x0000_i1049" DrawAspect="Content" ObjectID="_1566933387" r:id="rId52"/>
        </w:object>
      </w:r>
      <w:r>
        <w:rPr>
          <w:rFonts w:cs="Arial"/>
          <w:i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варијанс</w:t>
      </w:r>
      <w:r>
        <w:rPr>
          <w:rFonts w:cs="Arial"/>
          <w:color w:val="auto"/>
          <w:lang w:val="sr-Cyrl-CS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исправним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делиоцем</w:t>
      </w:r>
      <w:r>
        <w:rPr>
          <w:rFonts w:cs="Arial"/>
          <w:lang w:val="sr-Cyrl-CS" w:eastAsia="sr-Latn-CS"/>
        </w:rPr>
        <w:t xml:space="preserve"> </w:t>
      </w:r>
      <w:r w:rsidRPr="00CA1170">
        <w:rPr>
          <w:rFonts w:cs="Arial"/>
          <w:position w:val="-4"/>
          <w:lang w:val="it-IT" w:eastAsia="sr-Latn-CS"/>
        </w:rPr>
        <w:object w:dxaOrig="380" w:dyaOrig="240">
          <v:shape id="_x0000_i1050" type="#_x0000_t75" style="width:18.8pt;height:11.9pt" o:ole="">
            <v:imagedata r:id="rId53" o:title=""/>
          </v:shape>
          <o:OLEObject Type="Embed" ProgID="Equation.3" ShapeID="_x0000_i1050" DrawAspect="Content" ObjectID="_1566933388" r:id="rId54"/>
        </w:object>
      </w:r>
      <w:r w:rsidRPr="00E779C8">
        <w:rPr>
          <w:rFonts w:cs="Arial"/>
          <w:lang w:val="it-IT" w:eastAsia="sr-Latn-CS"/>
        </w:rPr>
        <w:t>,</w:t>
      </w:r>
      <w:r>
        <w:rPr>
          <w:rFonts w:cs="Arial"/>
          <w:lang w:val="sr-Cyrl-CS" w:eastAsia="sr-Latn-CS"/>
        </w:rPr>
        <w:t xml:space="preserve"> </w:t>
      </w:r>
      <w:r w:rsidRPr="00064503">
        <w:rPr>
          <w:rFonts w:cs="Arial"/>
          <w:i/>
          <w:position w:val="-4"/>
          <w:lang w:val="it-IT" w:eastAsia="sr-Latn-CS"/>
        </w:rPr>
        <w:object w:dxaOrig="480" w:dyaOrig="240">
          <v:shape id="_x0000_i1051" type="#_x0000_t75" style="width:23.8pt;height:11.9pt" o:ole="">
            <v:imagedata r:id="rId55" o:title=""/>
          </v:shape>
          <o:OLEObject Type="Embed" ProgID="Equation.3" ShapeID="_x0000_i1051" DrawAspect="Content" ObjectID="_1566933389" r:id="rId56"/>
        </w:object>
      </w:r>
      <w:r>
        <w:rPr>
          <w:rFonts w:cs="Arial"/>
          <w:i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бесмислени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>
        <w:rPr>
          <w:rFonts w:cs="Arial"/>
          <w:lang w:val="sr-Cyrl-CS" w:eastAsia="sr-Latn-CS"/>
        </w:rPr>
        <w:t xml:space="preserve"> 0/0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одражавајући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немогућност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варијабилности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Процена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варијабилности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 xml:space="preserve">назива </w:t>
      </w:r>
      <w:r w:rsidRPr="003749FC">
        <w:rPr>
          <w:rFonts w:cs="Arial"/>
          <w:b/>
          <w:lang w:val="sr-Cyrl-CS" w:eastAsia="sr-Latn-CS"/>
        </w:rPr>
        <w:t>варијанса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variance</w:t>
      </w:r>
      <w:r>
        <w:rPr>
          <w:rFonts w:cs="Arial"/>
          <w:lang w:val="sr-Cyrl-CS" w:eastAsia="sr-Latn-CS"/>
        </w:rPr>
        <w:t>),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и </w:t>
      </w:r>
      <w:r>
        <w:rPr>
          <w:rFonts w:cs="Arial"/>
          <w:lang w:val="it-IT" w:eastAsia="sr-Latn-CS"/>
        </w:rPr>
        <w:t>дефинисан</w:t>
      </w:r>
      <w:r>
        <w:rPr>
          <w:rFonts w:cs="Arial"/>
          <w:lang w:val="sr-Cyrl-CS" w:eastAsia="sr-Latn-CS"/>
        </w:rPr>
        <w:t>а је као</w:t>
      </w:r>
    </w:p>
    <w:p w:rsidR="00EA3365" w:rsidRPr="00E779C8" w:rsidRDefault="00EA3365" w:rsidP="00EA3365">
      <w:pPr>
        <w:pStyle w:val="Equation1"/>
        <w:rPr>
          <w:rFonts w:cs="Arial"/>
          <w:lang w:val="it-IT" w:eastAsia="sr-Latn-CS"/>
        </w:rPr>
      </w:pPr>
      <w:r w:rsidRPr="006505D5">
        <w:rPr>
          <w:position w:val="-20"/>
          <w:lang w:eastAsia="sr-Latn-CS"/>
        </w:rPr>
        <w:object w:dxaOrig="2640" w:dyaOrig="540">
          <v:shape id="_x0000_i1052" type="#_x0000_t75" style="width:132.1pt;height:26.9pt" o:ole="">
            <v:imagedata r:id="rId57" o:title=""/>
          </v:shape>
          <o:OLEObject Type="Embed" ProgID="Equation.3" ShapeID="_x0000_i1052" DrawAspect="Content" ObjectID="_1566933390" r:id="rId58"/>
        </w:object>
      </w:r>
    </w:p>
    <w:p w:rsidR="00EA3365" w:rsidRDefault="00EA3365" w:rsidP="00EA3365">
      <w:pPr>
        <w:spacing w:before="0"/>
        <w:ind w:firstLine="720"/>
        <w:rPr>
          <w:rFonts w:cs="Arial"/>
          <w:lang w:val="it-IT" w:eastAsia="sr-Latn-CS"/>
        </w:rPr>
      </w:pPr>
      <w:r w:rsidRPr="00E779C8">
        <w:rPr>
          <w:rFonts w:cs="Arial"/>
          <w:lang w:val="it-IT" w:eastAsia="sr-Latn-CS"/>
        </w:rPr>
        <w:t>M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рекли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eastAsia="sr-Latn-CS"/>
        </w:rPr>
        <w:t>Σ</w:t>
      </w:r>
      <w:r w:rsidRPr="00E779C8">
        <w:rPr>
          <w:rFonts w:cs="Arial"/>
          <w:lang w:val="it-IT" w:eastAsia="sr-Latn-CS"/>
        </w:rPr>
        <w:t>(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val="it-IT" w:eastAsia="sr-Latn-CS"/>
        </w:rPr>
        <w:t xml:space="preserve"> - </w:t>
      </w:r>
      <w:r w:rsidRPr="006E723D">
        <w:rPr>
          <w:position w:val="-4"/>
          <w:lang w:eastAsia="sr-Latn-CS"/>
        </w:rPr>
        <w:object w:dxaOrig="200" w:dyaOrig="279">
          <v:shape id="_x0000_i1053" type="#_x0000_t75" style="width:10pt;height:13.75pt" o:ole="">
            <v:imagedata r:id="rId29" o:title=""/>
          </v:shape>
          <o:OLEObject Type="Embed" ProgID="Equation.3" ShapeID="_x0000_i1053" DrawAspect="Content" ObjectID="_1566933391" r:id="rId59"/>
        </w:object>
      </w:r>
      <w:r>
        <w:rPr>
          <w:rFonts w:cs="Arial"/>
          <w:lang w:val="it-IT" w:eastAsia="sr-Latn-CS"/>
        </w:rPr>
        <w:t>)</w:t>
      </w:r>
      <w:r w:rsidRPr="00480AEE">
        <w:rPr>
          <w:rFonts w:cs="Arial"/>
          <w:color w:val="auto"/>
          <w:vertAlign w:val="superscript"/>
          <w:lang w:val="sr-Latn-CS" w:eastAsia="sr-Latn-CS"/>
        </w:rPr>
        <w:t>2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E779C8">
        <w:rPr>
          <w:rFonts w:cs="Arial"/>
          <w:lang w:val="it-IT" w:eastAsia="sr-Latn-CS"/>
        </w:rPr>
        <w:t>. K</w:t>
      </w:r>
      <w:r>
        <w:rPr>
          <w:rFonts w:cs="Arial"/>
          <w:lang w:val="it-IT" w:eastAsia="sr-Latn-CS"/>
        </w:rPr>
        <w:t>вантитет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i/>
          <w:iCs/>
          <w:color w:val="auto"/>
          <w:lang w:val="sr-Latn-CS" w:eastAsia="sr-Latn-CS"/>
        </w:rPr>
        <w:t>n</w:t>
      </w:r>
      <w:r w:rsidRPr="00E779C8">
        <w:rPr>
          <w:rFonts w:cs="Arial"/>
          <w:lang w:val="it-IT" w:eastAsia="sr-Latn-CS"/>
        </w:rPr>
        <w:t xml:space="preserve">-1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степен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слободе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degrees of freedom</w:t>
      </w:r>
      <w:r>
        <w:rPr>
          <w:rFonts w:cs="Arial"/>
          <w:color w:val="auto"/>
          <w:lang w:val="sr-Latn-CS" w:eastAsia="sr-Latn-CS"/>
        </w:rPr>
        <w:t xml:space="preserve">) </w:t>
      </w:r>
      <w:r>
        <w:rPr>
          <w:rFonts w:cs="Arial"/>
          <w:color w:val="auto"/>
          <w:lang w:val="it-IT" w:eastAsia="sr-Latn-CS"/>
        </w:rPr>
        <w:t>процене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варијансе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Имамо</w:t>
      </w:r>
      <w:r w:rsidRPr="00E779C8">
        <w:rPr>
          <w:rFonts w:cs="Arial"/>
          <w:lang w:val="it-IT" w:eastAsia="sr-Latn-CS"/>
        </w:rPr>
        <w:t>:</w:t>
      </w:r>
    </w:p>
    <w:p w:rsidR="00EA3365" w:rsidRPr="00E779C8" w:rsidRDefault="00EA3365" w:rsidP="00EA3365">
      <w:pPr>
        <w:pStyle w:val="Equation1"/>
        <w:rPr>
          <w:lang w:val="it-IT" w:eastAsia="sr-Latn-CS"/>
        </w:rPr>
      </w:pPr>
      <w:r w:rsidRPr="00BA776E">
        <w:rPr>
          <w:position w:val="-10"/>
          <w:lang w:val="it-IT" w:eastAsia="sr-Latn-CS"/>
        </w:rPr>
        <w:object w:dxaOrig="160" w:dyaOrig="300">
          <v:shape id="_x0000_i1054" type="#_x0000_t75" style="width:8.15pt;height:15.05pt" o:ole="">
            <v:imagedata r:id="rId60" o:title=""/>
          </v:shape>
          <o:OLEObject Type="Embed" ProgID="Equation.3" ShapeID="_x0000_i1054" DrawAspect="Content" ObjectID="_1566933392" r:id="rId61"/>
        </w:object>
      </w:r>
      <w:r w:rsidRPr="00BA776E">
        <w:rPr>
          <w:position w:val="-26"/>
          <w:lang w:eastAsia="sr-Latn-CS"/>
        </w:rPr>
        <w:object w:dxaOrig="5520" w:dyaOrig="600">
          <v:shape id="_x0000_i1055" type="#_x0000_t75" style="width:276.1pt;height:30.05pt" o:ole="">
            <v:imagedata r:id="rId62" o:title=""/>
          </v:shape>
          <o:OLEObject Type="Embed" ProgID="Equation.3" ShapeID="_x0000_i1055" DrawAspect="Content" ObjectID="_1566933393" r:id="rId63"/>
        </w:object>
      </w:r>
    </w:p>
    <w:p w:rsidR="00EA3365" w:rsidRPr="00E779C8" w:rsidRDefault="00EA3365" w:rsidP="00EA3365">
      <w:pPr>
        <w:spacing w:before="0"/>
        <w:rPr>
          <w:rFonts w:cs="Arial"/>
          <w:lang w:val="sv-SE" w:eastAsia="sr-Latn-CS"/>
        </w:rPr>
      </w:pPr>
      <w:r w:rsidRPr="00E779C8">
        <w:rPr>
          <w:rFonts w:cs="Arial"/>
          <w:lang w:val="it-IT" w:eastAsia="sr-Latn-CS"/>
        </w:rPr>
        <w:t xml:space="preserve">         </w:t>
      </w:r>
      <w:r>
        <w:rPr>
          <w:rFonts w:cs="Arial"/>
          <w:lang w:val="sr-Cyrl-CS" w:eastAsia="sr-Latn-CS"/>
        </w:rPr>
        <w:tab/>
      </w:r>
      <w:r>
        <w:rPr>
          <w:rFonts w:cs="Arial"/>
          <w:lang w:val="it-IT" w:eastAsia="sr-Latn-CS"/>
        </w:rPr>
        <w:t>Обично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означавати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варијансу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i/>
          <w:iCs/>
          <w:color w:val="auto"/>
          <w:lang w:val="sr-Latn-CS" w:eastAsia="sr-Latn-CS"/>
        </w:rPr>
        <w:t>s</w:t>
      </w:r>
      <w:r w:rsidRPr="00E779C8">
        <w:rPr>
          <w:rFonts w:cs="Arial"/>
          <w:color w:val="auto"/>
          <w:vertAlign w:val="superscript"/>
          <w:lang w:val="sr-Latn-CS" w:eastAsia="sr-Latn-CS"/>
        </w:rPr>
        <w:t>2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нашем </w:t>
      </w:r>
      <w:r>
        <w:rPr>
          <w:rFonts w:cs="Arial"/>
          <w:lang w:val="it-IT" w:eastAsia="sr-Latn-CS"/>
        </w:rPr>
        <w:t>примеру</w:t>
      </w:r>
      <w:r>
        <w:rPr>
          <w:rFonts w:cs="Arial"/>
          <w:lang w:val="sr-Cyrl-CS" w:eastAsia="sr-Latn-CS"/>
        </w:rPr>
        <w:t xml:space="preserve"> (табела 1.9)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збир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52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E779C8">
        <w:rPr>
          <w:rFonts w:cs="Arial"/>
          <w:lang w:val="it-IT" w:eastAsia="sr-Latn-CS"/>
        </w:rPr>
        <w:t xml:space="preserve"> 9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дајући</w:t>
      </w:r>
      <w:r w:rsidRPr="00E779C8">
        <w:rPr>
          <w:rFonts w:cs="Arial"/>
          <w:lang w:val="it-IT" w:eastAsia="sr-Latn-CS"/>
        </w:rPr>
        <w:t xml:space="preserve"> 8 </w:t>
      </w:r>
      <w:r>
        <w:rPr>
          <w:rFonts w:cs="Arial"/>
          <w:lang w:val="it-IT" w:eastAsia="sr-Latn-CS"/>
        </w:rPr>
        <w:t>степени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sv-SE" w:eastAsia="sr-Latn-CS"/>
        </w:rPr>
        <w:t>Дакле</w:t>
      </w:r>
      <w:r w:rsidRPr="00660401">
        <w:rPr>
          <w:rFonts w:cs="Arial"/>
          <w:position w:val="-6"/>
          <w:lang w:val="sv-SE" w:eastAsia="sr-Latn-CS"/>
        </w:rPr>
        <w:object w:dxaOrig="1359" w:dyaOrig="300">
          <v:shape id="_x0000_i1056" type="#_x0000_t75" style="width:68.25pt;height:15.05pt" o:ole="">
            <v:imagedata r:id="rId64" o:title=""/>
          </v:shape>
          <o:OLEObject Type="Embed" ProgID="Equation.3" ShapeID="_x0000_i1056" DrawAspect="Content" ObjectID="_1566933394" r:id="rId65"/>
        </w:object>
      </w:r>
      <w:r w:rsidRPr="00E779C8">
        <w:rPr>
          <w:rFonts w:cs="Arial"/>
          <w:lang w:val="sv-SE" w:eastAsia="sr-Latn-CS"/>
        </w:rPr>
        <w:t>.</w:t>
      </w:r>
    </w:p>
    <w:p w:rsidR="00EA3365" w:rsidRDefault="00EA3365" w:rsidP="00EA3365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sv-SE" w:eastAsia="sr-Latn-CS"/>
        </w:rPr>
        <w:lastRenderedPageBreak/>
        <w:t>Формула</w:t>
      </w:r>
      <w:r w:rsidRPr="00E779C8"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eastAsia="sr-Latn-CS"/>
        </w:rPr>
        <w:t>Σ</w:t>
      </w:r>
      <w:r w:rsidRPr="00E779C8">
        <w:rPr>
          <w:rFonts w:cs="Arial"/>
          <w:lang w:val="sv-SE" w:eastAsia="sr-Latn-CS"/>
        </w:rPr>
        <w:t>(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E779C8">
        <w:rPr>
          <w:rFonts w:cs="Arial"/>
          <w:lang w:val="sv-SE" w:eastAsia="sr-Latn-CS"/>
        </w:rPr>
        <w:t xml:space="preserve"> - </w:t>
      </w:r>
      <w:r w:rsidRPr="006E723D">
        <w:rPr>
          <w:position w:val="-4"/>
          <w:lang w:eastAsia="sr-Latn-CS"/>
        </w:rPr>
        <w:object w:dxaOrig="200" w:dyaOrig="279">
          <v:shape id="_x0000_i1057" type="#_x0000_t75" style="width:10pt;height:13.75pt" o:ole="">
            <v:imagedata r:id="rId29" o:title=""/>
          </v:shape>
          <o:OLEObject Type="Embed" ProgID="Equation.3" ShapeID="_x0000_i1057" DrawAspect="Content" ObjectID="_1566933395" r:id="rId66"/>
        </w:object>
      </w:r>
      <w:r w:rsidRPr="00E779C8">
        <w:rPr>
          <w:rFonts w:cs="Arial"/>
          <w:lang w:val="sv-SE" w:eastAsia="sr-Latn-CS"/>
        </w:rPr>
        <w:t>)</w:t>
      </w:r>
      <w:r w:rsidRPr="00E779C8">
        <w:rPr>
          <w:rFonts w:cs="Arial"/>
          <w:color w:val="auto"/>
          <w:vertAlign w:val="superscript"/>
          <w:lang w:val="sr-Latn-CS" w:eastAsia="sr-Latn-CS"/>
        </w:rPr>
        <w:t>2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прилично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досадну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рачуницу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Постоји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формула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која омогућава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рачунање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спроведе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једноставно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алгебарски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поступак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потпуно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одговор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формуле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варијансу</w:t>
      </w:r>
      <w:r w:rsidRPr="00E779C8">
        <w:rPr>
          <w:rFonts w:cs="Arial"/>
          <w:lang w:val="it-IT" w:eastAsia="sr-Latn-CS"/>
        </w:rPr>
        <w:t>:</w:t>
      </w:r>
    </w:p>
    <w:p w:rsidR="00EA3365" w:rsidRDefault="00EA3365" w:rsidP="00EA3365">
      <w:pPr>
        <w:pStyle w:val="Equation1"/>
        <w:rPr>
          <w:lang w:val="it-IT" w:eastAsia="sr-Latn-CS"/>
        </w:rPr>
      </w:pPr>
      <w:r w:rsidRPr="007762D8">
        <w:rPr>
          <w:position w:val="-20"/>
          <w:lang w:val="it-IT" w:eastAsia="sr-Latn-CS"/>
        </w:rPr>
        <w:object w:dxaOrig="1960" w:dyaOrig="540">
          <v:shape id="_x0000_i1058" type="#_x0000_t75" style="width:98.3pt;height:26.9pt" o:ole="">
            <v:imagedata r:id="rId67" o:title=""/>
          </v:shape>
          <o:OLEObject Type="Embed" ProgID="Equation.3" ShapeID="_x0000_i1058" DrawAspect="Content" ObjectID="_1566933396" r:id="rId68"/>
        </w:object>
      </w:r>
    </w:p>
    <w:p w:rsidR="00EA3365" w:rsidRDefault="00EA3365" w:rsidP="00EA3365">
      <w:pPr>
        <w:pStyle w:val="Equation1"/>
        <w:rPr>
          <w:lang w:val="it-IT" w:eastAsia="sr-Latn-CS"/>
        </w:rPr>
      </w:pPr>
      <w:r w:rsidRPr="00610EEB">
        <w:rPr>
          <w:position w:val="-40"/>
          <w:lang w:val="it-IT" w:eastAsia="sr-Latn-CS"/>
        </w:rPr>
        <w:object w:dxaOrig="2580" w:dyaOrig="900">
          <v:shape id="_x0000_i1059" type="#_x0000_t75" style="width:128.95pt;height:45.1pt" o:ole="">
            <v:imagedata r:id="rId69" o:title=""/>
          </v:shape>
          <o:OLEObject Type="Embed" ProgID="Equation.3" ShapeID="_x0000_i1059" DrawAspect="Content" ObjectID="_1566933397" r:id="rId70"/>
        </w:object>
      </w:r>
    </w:p>
    <w:p w:rsidR="00EA3365" w:rsidRDefault="00EA3365" w:rsidP="00EA3365">
      <w:pPr>
        <w:spacing w:before="0"/>
        <w:ind w:firstLine="567"/>
        <w:rPr>
          <w:rFonts w:cs="Arial"/>
          <w:lang w:val="it-IT" w:eastAsia="sr-Latn-CS"/>
        </w:rPr>
      </w:pPr>
      <w:r w:rsidRPr="00E779C8">
        <w:rPr>
          <w:rFonts w:cs="Arial"/>
          <w:lang w:val="sv-SE" w:eastAsia="sr-Latn-CS"/>
        </w:rPr>
        <w:t>A</w:t>
      </w:r>
      <w:r>
        <w:rPr>
          <w:rFonts w:cs="Arial"/>
          <w:lang w:val="sv-SE" w:eastAsia="sr-Latn-CS"/>
        </w:rPr>
        <w:t>лгебра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крајње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једноставна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користећи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формулу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девет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имамо</w:t>
      </w:r>
      <w:r w:rsidRPr="00E779C8">
        <w:rPr>
          <w:rFonts w:cs="Arial"/>
          <w:lang w:val="it-IT" w:eastAsia="sr-Latn-CS"/>
        </w:rPr>
        <w:t>:</w:t>
      </w:r>
    </w:p>
    <w:p w:rsidR="00EA3365" w:rsidRPr="00E779C8" w:rsidRDefault="00EA3365" w:rsidP="00EA3365">
      <w:pPr>
        <w:pStyle w:val="Equation1"/>
        <w:rPr>
          <w:lang w:val="it-IT" w:eastAsia="sr-Latn-CS"/>
        </w:rPr>
      </w:pPr>
      <w:r w:rsidRPr="000761CF">
        <w:rPr>
          <w:position w:val="-26"/>
          <w:lang w:val="it-IT" w:eastAsia="sr-Latn-CS"/>
        </w:rPr>
        <w:object w:dxaOrig="3700" w:dyaOrig="620">
          <v:shape id="_x0000_i1060" type="#_x0000_t75" style="width:184.7pt;height:31.3pt" o:ole="">
            <v:imagedata r:id="rId71" o:title=""/>
          </v:shape>
          <o:OLEObject Type="Embed" ProgID="Equation.3" ShapeID="_x0000_i1060" DrawAspect="Content" ObjectID="_1566933398" r:id="rId72"/>
        </w:object>
      </w:r>
    </w:p>
    <w:p w:rsidR="00EA3365" w:rsidRPr="00E779C8" w:rsidRDefault="00EA3365" w:rsidP="00EA3365">
      <w:pPr>
        <w:spacing w:before="0"/>
        <w:rPr>
          <w:rFonts w:cs="Arial"/>
          <w:lang w:val="sv-SE" w:eastAsia="sr-Latn-CS"/>
        </w:rPr>
      </w:pPr>
      <w:r>
        <w:rPr>
          <w:rFonts w:cs="Arial"/>
          <w:lang w:val="pl-PL" w:eastAsia="sr-Latn-CS"/>
        </w:rPr>
        <w:t>као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пре</w:t>
      </w:r>
      <w:r w:rsidRPr="00581A83">
        <w:rPr>
          <w:rFonts w:cs="Arial"/>
          <w:lang w:val="it-IT" w:eastAsia="sr-Latn-CS"/>
        </w:rPr>
        <w:t xml:space="preserve">. </w:t>
      </w:r>
      <w:r>
        <w:rPr>
          <w:rFonts w:cs="Arial"/>
          <w:lang w:val="pl-PL" w:eastAsia="sr-Latn-CS"/>
        </w:rPr>
        <w:t>На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дигитрону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ово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много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лакша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формула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прве</w:t>
      </w:r>
      <w:r w:rsidRPr="00581A83">
        <w:rPr>
          <w:rFonts w:cs="Arial"/>
          <w:lang w:val="it-IT" w:eastAsia="sr-Latn-CS"/>
        </w:rPr>
        <w:t xml:space="preserve">, </w:t>
      </w:r>
      <w:r>
        <w:rPr>
          <w:rFonts w:cs="Arial"/>
          <w:lang w:val="pl-PL" w:eastAsia="sr-Latn-CS"/>
        </w:rPr>
        <w:t>јер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бројеве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треба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унети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само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једном</w:t>
      </w:r>
      <w:r w:rsidRPr="00581A83">
        <w:rPr>
          <w:rFonts w:cs="Arial"/>
          <w:lang w:val="it-IT" w:eastAsia="sr-Latn-CS"/>
        </w:rPr>
        <w:t>. M</w:t>
      </w:r>
      <w:r>
        <w:rPr>
          <w:rFonts w:cs="Arial"/>
          <w:lang w:val="pl-PL" w:eastAsia="sr-Latn-CS"/>
        </w:rPr>
        <w:t>оже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бити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нетачна</w:t>
      </w:r>
      <w:r w:rsidRPr="00581A83">
        <w:rPr>
          <w:rFonts w:cs="Arial"/>
          <w:lang w:val="it-IT" w:eastAsia="sr-Latn-CS"/>
        </w:rPr>
        <w:t xml:space="preserve">, </w:t>
      </w:r>
      <w:r>
        <w:rPr>
          <w:rFonts w:cs="Arial"/>
          <w:lang w:val="pl-PL" w:eastAsia="sr-Latn-CS"/>
        </w:rPr>
        <w:t>јер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одузимамо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један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велики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број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другог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би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добили</w:t>
      </w:r>
      <w:r w:rsidRPr="00581A83">
        <w:rPr>
          <w:rFonts w:cs="Arial"/>
          <w:lang w:val="it-IT" w:eastAsia="sr-Latn-CS"/>
        </w:rPr>
        <w:t xml:space="preserve"> </w:t>
      </w:r>
      <w:r>
        <w:rPr>
          <w:rFonts w:cs="Arial"/>
          <w:lang w:val="pl-PL" w:eastAsia="sr-Latn-CS"/>
        </w:rPr>
        <w:t>мали</w:t>
      </w:r>
      <w:r w:rsidRPr="00581A83">
        <w:rPr>
          <w:rFonts w:cs="Arial"/>
          <w:lang w:val="it-IT" w:eastAsia="sr-Latn-CS"/>
        </w:rPr>
        <w:t xml:space="preserve">. </w:t>
      </w:r>
      <w:r>
        <w:rPr>
          <w:rFonts w:cs="Arial"/>
          <w:lang w:val="sv-SE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разлога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формула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користити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рачунарском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програму</w:t>
      </w:r>
      <w:r w:rsidRPr="00E779C8">
        <w:rPr>
          <w:rFonts w:cs="Arial"/>
          <w:lang w:val="sv-SE" w:eastAsia="sr-Latn-CS"/>
        </w:rPr>
        <w:t>.</w:t>
      </w:r>
    </w:p>
    <w:p w:rsidR="00EA3365" w:rsidRPr="00581A83" w:rsidRDefault="00EA3365" w:rsidP="00EA3365">
      <w:pPr>
        <w:pStyle w:val="Heading3"/>
        <w:jc w:val="both"/>
        <w:rPr>
          <w:lang w:val="sv-SE" w:eastAsia="sr-Latn-CS"/>
        </w:rPr>
      </w:pPr>
      <w:bookmarkStart w:id="21" w:name="_Toc271986262"/>
      <w:bookmarkStart w:id="22" w:name="_Toc284064845"/>
      <w:r>
        <w:rPr>
          <w:lang w:val="sr-Cyrl-CS" w:eastAsia="sr-Latn-CS"/>
        </w:rPr>
        <w:t>1</w:t>
      </w:r>
      <w:r w:rsidRPr="00581A83">
        <w:rPr>
          <w:lang w:val="sv-SE" w:eastAsia="sr-Latn-CS"/>
        </w:rPr>
        <w:t xml:space="preserve">.8 </w:t>
      </w:r>
      <w:bookmarkEnd w:id="20"/>
      <w:r w:rsidRPr="00C44D9D">
        <w:rPr>
          <w:lang w:eastAsia="sr-Latn-CS"/>
        </w:rPr>
        <w:t>Стандардно</w:t>
      </w:r>
      <w:r w:rsidRPr="00581A83">
        <w:rPr>
          <w:lang w:val="sv-SE" w:eastAsia="sr-Latn-CS"/>
        </w:rPr>
        <w:t xml:space="preserve"> </w:t>
      </w:r>
      <w:r w:rsidRPr="00C44D9D">
        <w:rPr>
          <w:lang w:eastAsia="sr-Latn-CS"/>
        </w:rPr>
        <w:t>одступање</w:t>
      </w:r>
      <w:r w:rsidRPr="00581A83">
        <w:rPr>
          <w:lang w:val="sv-SE" w:eastAsia="sr-Latn-CS"/>
        </w:rPr>
        <w:t xml:space="preserve"> (standard deviation)</w:t>
      </w:r>
      <w:bookmarkEnd w:id="21"/>
      <w:bookmarkEnd w:id="22"/>
    </w:p>
    <w:p w:rsidR="00EA3365" w:rsidRDefault="00EA3365" w:rsidP="00EA3365">
      <w:pPr>
        <w:spacing w:before="0"/>
        <w:rPr>
          <w:rFonts w:cs="Arial"/>
          <w:lang w:val="sv-SE" w:eastAsia="sr-Latn-CS"/>
        </w:rPr>
      </w:pPr>
      <w:r>
        <w:rPr>
          <w:rFonts w:cs="Arial"/>
          <w:color w:val="auto"/>
          <w:lang w:val="sr-Cyrl-CS" w:eastAsia="sr-Latn-CS"/>
        </w:rPr>
        <w:t>Варијанса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sv-SE" w:eastAsia="sr-Latn-CS"/>
        </w:rPr>
        <w:t>рачуна</w:t>
      </w:r>
      <w:r>
        <w:rPr>
          <w:rFonts w:cs="Arial"/>
          <w:lang w:val="sr-Cyrl-CS" w:eastAsia="sr-Latn-CS"/>
        </w:rPr>
        <w:t>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квадрата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значи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894531">
        <w:rPr>
          <w:rFonts w:cs="Arial"/>
          <w:color w:val="auto"/>
          <w:lang w:val="sr-Cyrl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варијанса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јединицама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 xml:space="preserve">као </w:t>
      </w:r>
      <w:r>
        <w:rPr>
          <w:rFonts w:cs="Arial"/>
          <w:lang w:val="sv-SE" w:eastAsia="sr-Latn-CS"/>
        </w:rPr>
        <w:t>посматрање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што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ограничава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ње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употребу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дескриптивну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статистику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Очигледан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одговор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узме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квадратни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корен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који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онда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јединице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средина</w:t>
      </w:r>
      <w:r w:rsidRPr="00E779C8">
        <w:rPr>
          <w:rFonts w:cs="Arial"/>
          <w:lang w:val="sv-SE" w:eastAsia="sr-Latn-CS"/>
        </w:rPr>
        <w:t>. K</w:t>
      </w:r>
      <w:r>
        <w:rPr>
          <w:rFonts w:cs="Arial"/>
          <w:lang w:val="sv-SE" w:eastAsia="sr-Latn-CS"/>
        </w:rPr>
        <w:t>вадратни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корен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варијансе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назива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b/>
          <w:lang w:val="sv-SE" w:eastAsia="sr-Latn-CS"/>
        </w:rPr>
        <w:t>стандардно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b/>
          <w:lang w:val="sv-SE" w:eastAsia="sr-Latn-CS"/>
        </w:rPr>
        <w:t>одступање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standard deviation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обично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се</w:t>
      </w:r>
      <w:r>
        <w:rPr>
          <w:rFonts w:cs="Arial"/>
          <w:lang w:val="sv-SE" w:eastAsia="sr-Latn-CS"/>
        </w:rPr>
        <w:t xml:space="preserve"> означ</w:t>
      </w:r>
      <w:r>
        <w:rPr>
          <w:rFonts w:cs="Arial"/>
          <w:lang w:val="sr-Cyrl-CS" w:eastAsia="sr-Latn-CS"/>
        </w:rPr>
        <w:t>ава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са</w:t>
      </w:r>
      <w:r w:rsidRPr="00E779C8">
        <w:rPr>
          <w:rFonts w:cs="Arial"/>
          <w:i/>
          <w:lang w:val="sv-SE" w:eastAsia="sr-Latn-CS"/>
        </w:rPr>
        <w:t xml:space="preserve"> </w:t>
      </w:r>
      <w:r>
        <w:rPr>
          <w:rFonts w:cs="Arial"/>
          <w:i/>
          <w:lang w:val="sv-SE" w:eastAsia="sr-Latn-CS"/>
        </w:rPr>
        <w:t>s</w:t>
      </w:r>
      <w:r w:rsidRPr="00E779C8">
        <w:rPr>
          <w:rFonts w:cs="Arial"/>
          <w:lang w:val="sv-SE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v-SE" w:eastAsia="sr-Latn-CS"/>
        </w:rPr>
        <w:t>Тако</w:t>
      </w:r>
      <w:r w:rsidRPr="00E779C8">
        <w:rPr>
          <w:rFonts w:cs="Arial"/>
          <w:lang w:val="sv-SE" w:eastAsia="sr-Latn-CS"/>
        </w:rPr>
        <w:t>,</w:t>
      </w:r>
    </w:p>
    <w:p w:rsidR="00EA3365" w:rsidRPr="00E779C8" w:rsidRDefault="00EA3365" w:rsidP="00EA3365">
      <w:pPr>
        <w:pStyle w:val="Equation1"/>
        <w:rPr>
          <w:rFonts w:cs="Arial"/>
          <w:lang w:val="sv-SE" w:eastAsia="sr-Latn-CS"/>
        </w:rPr>
      </w:pPr>
      <w:r w:rsidRPr="00610EEB">
        <w:rPr>
          <w:position w:val="-42"/>
          <w:lang w:val="it-IT" w:eastAsia="sr-Latn-CS"/>
        </w:rPr>
        <w:object w:dxaOrig="4560" w:dyaOrig="980">
          <v:shape id="_x0000_i1061" type="#_x0000_t75" style="width:227.9pt;height:48.85pt" o:ole="">
            <v:imagedata r:id="rId73" o:title=""/>
          </v:shape>
          <o:OLEObject Type="Embed" ProgID="Equation.3" ShapeID="_x0000_i1061" DrawAspect="Content" ObjectID="_1566933399" r:id="rId74"/>
        </w:object>
      </w:r>
    </w:p>
    <w:p w:rsidR="00EA3365" w:rsidRDefault="00EA3365" w:rsidP="00EA336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eastAsia="sr-Latn-CS"/>
        </w:rPr>
        <w:t>Вративши</w:t>
      </w:r>
      <w:r w:rsidRPr="00581A83">
        <w:rPr>
          <w:rFonts w:cs="Arial"/>
          <w:lang w:val="sv-SE" w:eastAsia="sr-Latn-CS"/>
        </w:rPr>
        <w:t xml:space="preserve"> </w:t>
      </w:r>
      <w:r>
        <w:rPr>
          <w:rFonts w:cs="Arial"/>
          <w:lang w:eastAsia="sr-Latn-CS"/>
        </w:rPr>
        <w:t>се</w:t>
      </w:r>
      <w:r w:rsidRPr="00581A83">
        <w:rPr>
          <w:rFonts w:cs="Arial"/>
          <w:lang w:val="sv-SE" w:eastAsia="sr-Latn-CS"/>
        </w:rPr>
        <w:t xml:space="preserve"> FEV</w:t>
      </w:r>
      <w:r>
        <w:rPr>
          <w:rFonts w:cs="Arial"/>
          <w:lang w:val="sr-Cyrl-CS" w:eastAsia="sr-Latn-CS"/>
        </w:rPr>
        <w:t>1</w:t>
      </w:r>
      <w:r w:rsidRPr="00581A83">
        <w:rPr>
          <w:rFonts w:cs="Arial"/>
          <w:lang w:val="sv-SE" w:eastAsia="sr-Latn-CS"/>
        </w:rPr>
        <w:t xml:space="preserve"> </w:t>
      </w:r>
      <w:r>
        <w:rPr>
          <w:rFonts w:cs="Arial"/>
          <w:lang w:eastAsia="sr-Latn-CS"/>
        </w:rPr>
        <w:t>подацима</w:t>
      </w:r>
      <w:r w:rsidRPr="00581A83">
        <w:rPr>
          <w:rFonts w:cs="Arial"/>
          <w:lang w:val="sv-SE" w:eastAsia="sr-Latn-CS"/>
        </w:rPr>
        <w:t xml:space="preserve">, </w:t>
      </w:r>
      <w:r>
        <w:rPr>
          <w:rFonts w:cs="Arial"/>
          <w:lang w:eastAsia="sr-Latn-CS"/>
        </w:rPr>
        <w:t>израчунавамо</w:t>
      </w:r>
      <w:r w:rsidRPr="00581A83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варијансу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eastAsia="sr-Latn-CS"/>
        </w:rPr>
        <w:t>и</w:t>
      </w:r>
      <w:r w:rsidRPr="00581A83">
        <w:rPr>
          <w:rFonts w:cs="Arial"/>
          <w:lang w:val="sv-SE" w:eastAsia="sr-Latn-CS"/>
        </w:rPr>
        <w:t xml:space="preserve"> </w:t>
      </w:r>
      <w:r>
        <w:rPr>
          <w:rFonts w:cs="Arial"/>
          <w:lang w:eastAsia="sr-Latn-CS"/>
        </w:rPr>
        <w:t>стандардно</w:t>
      </w:r>
      <w:r w:rsidRPr="00581A83">
        <w:rPr>
          <w:rFonts w:cs="Arial"/>
          <w:lang w:val="sv-SE" w:eastAsia="sr-Latn-CS"/>
        </w:rPr>
        <w:t xml:space="preserve"> </w:t>
      </w:r>
      <w:r>
        <w:rPr>
          <w:rFonts w:cs="Arial"/>
          <w:lang w:eastAsia="sr-Latn-CS"/>
        </w:rPr>
        <w:t>одступање</w:t>
      </w:r>
      <w:r w:rsidRPr="00581A83">
        <w:rPr>
          <w:rFonts w:cs="Arial"/>
          <w:lang w:val="sv-SE" w:eastAsia="sr-Latn-CS"/>
        </w:rPr>
        <w:t xml:space="preserve"> </w:t>
      </w:r>
      <w:r>
        <w:rPr>
          <w:rFonts w:cs="Arial"/>
          <w:lang w:eastAsia="sr-Latn-CS"/>
        </w:rPr>
        <w:t>као</w:t>
      </w:r>
      <w:r w:rsidRPr="00581A83">
        <w:rPr>
          <w:rFonts w:cs="Arial"/>
          <w:lang w:val="sv-SE" w:eastAsia="sr-Latn-CS"/>
        </w:rPr>
        <w:t xml:space="preserve"> </w:t>
      </w:r>
      <w:r>
        <w:rPr>
          <w:rFonts w:cs="Arial"/>
          <w:lang w:eastAsia="sr-Latn-CS"/>
        </w:rPr>
        <w:t>што</w:t>
      </w:r>
      <w:r w:rsidRPr="00581A83">
        <w:rPr>
          <w:rFonts w:cs="Arial"/>
          <w:lang w:val="sv-SE" w:eastAsia="sr-Latn-CS"/>
        </w:rPr>
        <w:t xml:space="preserve"> </w:t>
      </w:r>
      <w:r>
        <w:rPr>
          <w:rFonts w:cs="Arial"/>
          <w:lang w:eastAsia="sr-Latn-CS"/>
        </w:rPr>
        <w:t>следи</w:t>
      </w:r>
      <w:r w:rsidRPr="00581A83">
        <w:rPr>
          <w:rFonts w:cs="Arial"/>
          <w:lang w:val="sv-SE" w:eastAsia="sr-Latn-CS"/>
        </w:rPr>
        <w:t xml:space="preserve">. </w:t>
      </w:r>
    </w:p>
    <w:p w:rsidR="00EA3365" w:rsidRDefault="00EA3365" w:rsidP="00EA3365">
      <w:pPr>
        <w:spacing w:before="0"/>
        <w:rPr>
          <w:rFonts w:cs="Arial"/>
          <w:lang w:val="sr-Cyrl-CS" w:eastAsia="sr-Latn-CS"/>
        </w:rPr>
      </w:pPr>
    </w:p>
    <w:tbl>
      <w:tblPr>
        <w:tblW w:w="0" w:type="auto"/>
        <w:jc w:val="center"/>
        <w:tblInd w:w="-861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V w:val="threeDEngrave" w:sz="6" w:space="0" w:color="auto"/>
        </w:tblBorders>
        <w:tblLook w:val="01E0"/>
      </w:tblPr>
      <w:tblGrid>
        <w:gridCol w:w="1628"/>
        <w:gridCol w:w="1985"/>
        <w:gridCol w:w="1548"/>
      </w:tblGrid>
      <w:tr w:rsidR="00EA3365">
        <w:trPr>
          <w:jc w:val="center"/>
        </w:trPr>
        <w:tc>
          <w:tcPr>
            <w:tcW w:w="5161" w:type="dxa"/>
            <w:gridSpan w:val="3"/>
            <w:tcBorders>
              <w:bottom w:val="threeDEngrave" w:sz="6" w:space="0" w:color="auto"/>
            </w:tcBorders>
            <w:vAlign w:val="center"/>
          </w:tcPr>
          <w:p w:rsidR="00EA3365" w:rsidRPr="001357E2" w:rsidRDefault="00EA3365" w:rsidP="00EA3365">
            <w:pPr>
              <w:spacing w:before="0" w:after="120"/>
              <w:jc w:val="center"/>
              <w:rPr>
                <w:rFonts w:cs="Arial"/>
                <w:bCs/>
                <w:color w:val="auto"/>
                <w:lang w:val="sr-Cyrl-CS" w:eastAsia="sr-Latn-CS"/>
              </w:rPr>
            </w:pPr>
            <w:r>
              <w:rPr>
                <w:rFonts w:cs="Arial"/>
                <w:color w:val="auto"/>
                <w:lang w:val="sr-Cyrl-CS" w:eastAsia="sr-Latn-CS"/>
              </w:rPr>
              <w:t xml:space="preserve">Табела 1.10 </w:t>
            </w:r>
            <w:r>
              <w:rPr>
                <w:rFonts w:cs="Arial"/>
                <w:color w:val="auto"/>
                <w:lang w:val="sr-Latn-CS" w:eastAsia="sr-Latn-CS"/>
              </w:rPr>
              <w:t xml:space="preserve"> FEV</w:t>
            </w:r>
            <w:r w:rsidRPr="00E779C8">
              <w:rPr>
                <w:rFonts w:cs="Arial"/>
                <w:color w:val="auto"/>
                <w:lang w:val="sr-Latn-CS" w:eastAsia="sr-Latn-CS"/>
              </w:rPr>
              <w:t xml:space="preserve">1 </w:t>
            </w:r>
            <w:r w:rsidRPr="006E0427">
              <w:rPr>
                <w:rFonts w:cs="Arial"/>
                <w:bCs/>
                <w:color w:val="auto"/>
                <w:lang w:val="sr-Latn-CS" w:eastAsia="sr-Latn-CS"/>
              </w:rPr>
              <w:t>(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>литри</w:t>
            </w:r>
            <w:r w:rsidRPr="006E0427">
              <w:rPr>
                <w:rFonts w:cs="Arial"/>
                <w:bCs/>
                <w:color w:val="auto"/>
                <w:lang w:val="sr-Latn-CS" w:eastAsia="sr-Latn-CS"/>
              </w:rPr>
              <w:t xml:space="preserve">)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 xml:space="preserve">за </w:t>
            </w:r>
            <w:r w:rsidRPr="00E779C8">
              <w:rPr>
                <w:rFonts w:cs="Arial"/>
                <w:color w:val="auto"/>
                <w:lang w:val="sr-Latn-CS" w:eastAsia="sr-Latn-CS"/>
              </w:rPr>
              <w:t xml:space="preserve">57 </w:t>
            </w:r>
            <w:r>
              <w:rPr>
                <w:rFonts w:cs="Arial"/>
                <w:color w:val="auto"/>
                <w:lang w:val="sr-Latn-CS" w:eastAsia="sr-Latn-CS"/>
              </w:rPr>
              <w:t>мушких</w:t>
            </w:r>
            <w:r w:rsidRPr="00E779C8">
              <w:rPr>
                <w:rFonts w:cs="Arial"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color w:val="auto"/>
                <w:lang w:val="sr-Latn-CS" w:eastAsia="sr-Latn-CS"/>
              </w:rPr>
              <w:t>студената</w:t>
            </w:r>
            <w:r w:rsidRPr="00E779C8">
              <w:rPr>
                <w:rFonts w:cs="Arial"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color w:val="auto"/>
                <w:lang w:val="sr-Latn-CS" w:eastAsia="sr-Latn-CS"/>
              </w:rPr>
              <w:t>медицине</w:t>
            </w:r>
            <w:r>
              <w:rPr>
                <w:rFonts w:cs="Arial"/>
                <w:color w:val="auto"/>
                <w:lang w:val="sr-Cyrl-CS" w:eastAsia="sr-Latn-CS"/>
              </w:rPr>
              <w:t xml:space="preserve"> и квадрати посматрања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threeDEngrave" w:sz="6" w:space="0" w:color="auto"/>
              <w:bottom w:val="nil"/>
              <w:right w:val="nil"/>
            </w:tcBorders>
            <w:vAlign w:val="center"/>
          </w:tcPr>
          <w:p w:rsidR="00EA3365" w:rsidRDefault="00EA3365" w:rsidP="00EA3365">
            <w:pPr>
              <w:spacing w:before="0"/>
              <w:jc w:val="center"/>
              <w:rPr>
                <w:rFonts w:cs="Arial"/>
                <w:bCs/>
                <w:color w:val="auto"/>
                <w:lang w:val="sr-Cyrl-CS" w:eastAsia="sr-Latn-CS"/>
              </w:rPr>
            </w:pPr>
            <w:r>
              <w:rPr>
                <w:rFonts w:cs="Arial"/>
                <w:bCs/>
                <w:color w:val="auto"/>
                <w:lang w:val="sr-Cyrl-CS" w:eastAsia="sr-Latn-CS"/>
              </w:rPr>
              <w:t>Редни број</w:t>
            </w:r>
          </w:p>
          <w:p w:rsidR="00EA3365" w:rsidRPr="00592324" w:rsidRDefault="00EA3365" w:rsidP="00EA3365">
            <w:pPr>
              <w:spacing w:before="0"/>
              <w:jc w:val="center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Cyrl-CS" w:eastAsia="sr-Latn-CS"/>
              </w:rPr>
              <w:t xml:space="preserve">посматрања 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>n</w:t>
            </w:r>
          </w:p>
        </w:tc>
        <w:tc>
          <w:tcPr>
            <w:tcW w:w="1985" w:type="dxa"/>
            <w:tcBorders>
              <w:top w:val="threeDEngrave" w:sz="6" w:space="0" w:color="auto"/>
              <w:left w:val="nil"/>
              <w:bottom w:val="nil"/>
              <w:right w:val="nil"/>
            </w:tcBorders>
            <w:vAlign w:val="center"/>
          </w:tcPr>
          <w:p w:rsidR="00EA3365" w:rsidRPr="006E0427" w:rsidRDefault="00EA3365" w:rsidP="00EA3365">
            <w:pPr>
              <w:spacing w:before="0"/>
              <w:jc w:val="center"/>
              <w:rPr>
                <w:rFonts w:cs="Arial"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Cyrl-CS" w:eastAsia="sr-Latn-CS"/>
              </w:rPr>
              <w:t>Посматрање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1860BA">
              <w:rPr>
                <w:rFonts w:cs="Arial"/>
                <w:bCs/>
                <w:i/>
                <w:iCs/>
                <w:color w:val="auto"/>
                <w:lang w:val="sr-Latn-CS" w:eastAsia="sr-Latn-CS"/>
              </w:rPr>
              <w:t>x</w:t>
            </w:r>
            <w:r w:rsidRPr="001860BA">
              <w:rPr>
                <w:rFonts w:cs="Arial"/>
                <w:bCs/>
                <w:i/>
                <w:iCs/>
                <w:color w:val="auto"/>
                <w:vertAlign w:val="subscript"/>
                <w:lang w:val="sr-Latn-CS" w:eastAsia="sr-Latn-CS"/>
              </w:rPr>
              <w:t>i</w:t>
            </w:r>
          </w:p>
        </w:tc>
        <w:tc>
          <w:tcPr>
            <w:tcW w:w="1548" w:type="dxa"/>
            <w:tcBorders>
              <w:top w:val="threeDEngrave" w:sz="6" w:space="0" w:color="auto"/>
              <w:left w:val="nil"/>
              <w:bottom w:val="nil"/>
            </w:tcBorders>
            <w:vAlign w:val="center"/>
          </w:tcPr>
          <w:p w:rsidR="00EA3365" w:rsidRPr="006E0427" w:rsidRDefault="00EA3365" w:rsidP="00EA3365">
            <w:pPr>
              <w:spacing w:before="0"/>
              <w:jc w:val="center"/>
              <w:rPr>
                <w:rFonts w:cs="Arial"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Cyrl-CS" w:eastAsia="sr-Latn-CS"/>
              </w:rPr>
              <w:t xml:space="preserve">Вредност </w:t>
            </w:r>
            <w:r w:rsidRPr="00217F20">
              <w:rPr>
                <w:rFonts w:cs="Arial"/>
                <w:bCs/>
                <w:color w:val="auto"/>
                <w:position w:val="-10"/>
                <w:lang w:val="sr-Cyrl-CS" w:eastAsia="sr-Latn-CS"/>
              </w:rPr>
              <w:object w:dxaOrig="279" w:dyaOrig="340">
                <v:shape id="_x0000_i1062" type="#_x0000_t75" style="width:13.75pt;height:16.9pt" o:ole="">
                  <v:imagedata r:id="rId35" o:title=""/>
                </v:shape>
                <o:OLEObject Type="Embed" ProgID="Equation.3" ShapeID="_x0000_i1062" DrawAspect="Content" ObjectID="_1566933400" r:id="rId75"/>
              </w:objec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bookmarkStart w:id="23" w:name="_Hlk269920439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2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85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8,1225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2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85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8,1225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2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98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8,8804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04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9,2416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9,61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9,61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19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10,1761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20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10,24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30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10,89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39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11,4921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42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11,6964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48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12,1104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50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12,25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54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12,5316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54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12,5316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57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12,7449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Cyrl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>
              <w:rPr>
                <w:rFonts w:cs="Arial"/>
                <w:color w:val="auto"/>
                <w:lang w:val="sr-Cyrl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60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12,96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60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12,96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69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13,6161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70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13,69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70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13,69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75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14,0625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78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14,2884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83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14,6689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90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15,21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3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96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15,6816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05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16,4025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08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16,6464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16,81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14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17,1396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14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17,1396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16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17,3056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20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17,64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20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17,64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30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18,49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30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18,49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32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18,6624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44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19,7136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47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19,9809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47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19,9809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47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19,9809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50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20,25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50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20,25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56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20,7936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68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21,9024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70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22,09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71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22,1841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78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22,8484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80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23,04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80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23,04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4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90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24,01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5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00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5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26,01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5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26,01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5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20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27,04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6E0427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5</w:t>
            </w:r>
            <w:r>
              <w:rPr>
                <w:rFonts w:cs="Arial"/>
                <w:color w:val="auto"/>
                <w:lang w:val="sr-Latn-CS" w:eastAsia="sr-Latn-CS"/>
              </w:rPr>
              <w:t>,</w:t>
            </w:r>
            <w:r w:rsidRPr="006E0427">
              <w:rPr>
                <w:rFonts w:cs="Arial"/>
                <w:color w:val="auto"/>
                <w:lang w:val="sr-Latn-CS" w:eastAsia="sr-Latn-CS"/>
              </w:rPr>
              <w:t>30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28,09</w:t>
            </w:r>
          </w:p>
        </w:tc>
      </w:tr>
      <w:tr w:rsidR="00EA3365">
        <w:trPr>
          <w:jc w:val="center"/>
        </w:trPr>
        <w:tc>
          <w:tcPr>
            <w:tcW w:w="1628" w:type="dxa"/>
            <w:tcBorders>
              <w:top w:val="nil"/>
              <w:bottom w:val="nil"/>
              <w:right w:val="nil"/>
            </w:tcBorders>
          </w:tcPr>
          <w:p w:rsidR="00EA3365" w:rsidRPr="006E0427" w:rsidRDefault="00EA3365" w:rsidP="00EA3365">
            <w:pPr>
              <w:numPr>
                <w:ilvl w:val="0"/>
                <w:numId w:val="33"/>
              </w:num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EA3365" w:rsidRPr="00114E6F" w:rsidRDefault="00EA3365" w:rsidP="00EA3365">
            <w:pPr>
              <w:spacing w:before="40"/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6E0427">
              <w:rPr>
                <w:rFonts w:cs="Arial"/>
                <w:color w:val="auto"/>
                <w:lang w:val="sr-Latn-CS" w:eastAsia="sr-Latn-CS"/>
              </w:rPr>
              <w:t>5</w:t>
            </w:r>
            <w:r>
              <w:rPr>
                <w:rFonts w:cs="Arial"/>
                <w:color w:val="auto"/>
                <w:lang w:val="sr-Latn-CS" w:eastAsia="sr-Latn-CS"/>
              </w:rPr>
              <w:t>,48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</w:tcBorders>
            <w:vAlign w:val="bottom"/>
          </w:tcPr>
          <w:p w:rsidR="00EA3365" w:rsidRDefault="00EA3365" w:rsidP="00EA3365">
            <w:pPr>
              <w:spacing w:before="40"/>
              <w:jc w:val="center"/>
              <w:rPr>
                <w:rFonts w:cs="Arial"/>
              </w:rPr>
            </w:pPr>
            <w:r>
              <w:rPr>
                <w:rFonts w:cs="Arial"/>
              </w:rPr>
              <w:t>30,0304</w:t>
            </w:r>
          </w:p>
        </w:tc>
      </w:tr>
      <w:bookmarkEnd w:id="23"/>
      <w:tr w:rsidR="00EA3365">
        <w:trPr>
          <w:jc w:val="center"/>
        </w:trPr>
        <w:tc>
          <w:tcPr>
            <w:tcW w:w="1628" w:type="dxa"/>
            <w:tcBorders>
              <w:top w:val="nil"/>
              <w:bottom w:val="threeDEngrave" w:sz="6" w:space="0" w:color="auto"/>
              <w:right w:val="nil"/>
            </w:tcBorders>
          </w:tcPr>
          <w:p w:rsidR="00EA3365" w:rsidRPr="007B6DED" w:rsidRDefault="00EA3365" w:rsidP="00EA3365">
            <w:pPr>
              <w:jc w:val="center"/>
              <w:rPr>
                <w:rFonts w:cs="Arial"/>
                <w:color w:val="auto"/>
                <w:lang w:val="sr-Cyrl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n</w:t>
            </w:r>
            <w:r>
              <w:rPr>
                <w:rFonts w:cs="Arial"/>
                <w:color w:val="auto"/>
                <w:lang w:val="sr-Cyrl-CS" w:eastAsia="sr-Latn-CS"/>
              </w:rPr>
              <w:t xml:space="preserve"> = 57</w:t>
            </w:r>
          </w:p>
        </w:tc>
        <w:tc>
          <w:tcPr>
            <w:tcW w:w="1985" w:type="dxa"/>
            <w:tcBorders>
              <w:top w:val="nil"/>
              <w:left w:val="nil"/>
              <w:bottom w:val="threeDEngrave" w:sz="6" w:space="0" w:color="auto"/>
              <w:right w:val="nil"/>
            </w:tcBorders>
          </w:tcPr>
          <w:p w:rsidR="00EA3365" w:rsidRDefault="00EA3365" w:rsidP="00EA3365">
            <w:pPr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891ACC">
              <w:rPr>
                <w:rFonts w:cs="Arial"/>
                <w:bCs/>
                <w:color w:val="auto"/>
                <w:position w:val="-10"/>
                <w:lang w:val="sr-Cyrl-CS" w:eastAsia="sr-Latn-CS"/>
              </w:rPr>
              <w:object w:dxaOrig="360" w:dyaOrig="300">
                <v:shape id="_x0000_i1063" type="#_x0000_t75" style="width:18.15pt;height:15.05pt" o:ole="">
                  <v:imagedata r:id="rId76" o:title=""/>
                </v:shape>
                <o:OLEObject Type="Embed" ProgID="Equation.3" ShapeID="_x0000_i1063" DrawAspect="Content" ObjectID="_1566933401" r:id="rId77"/>
              </w:object>
            </w:r>
            <w:r>
              <w:rPr>
                <w:rFonts w:cs="Arial"/>
                <w:bCs/>
                <w:color w:val="auto"/>
                <w:lang w:val="sr-Cyrl-CS" w:eastAsia="sr-Latn-CS"/>
              </w:rPr>
              <w:t>=</w:t>
            </w:r>
            <w:r w:rsidR="005C365A">
              <w:rPr>
                <w:rFonts w:cs="Arial"/>
                <w:color w:val="auto"/>
                <w:lang w:val="sr-Latn-CS" w:eastAsia="sr-Latn-CS"/>
              </w:rPr>
              <w:fldChar w:fldCharType="begin"/>
            </w:r>
            <w:r>
              <w:rPr>
                <w:rFonts w:cs="Arial"/>
                <w:color w:val="auto"/>
                <w:lang w:val="sr-Latn-CS" w:eastAsia="sr-Latn-CS"/>
              </w:rPr>
              <w:instrText xml:space="preserve"> =SUM(ABOVE) \# "0,00" </w:instrText>
            </w:r>
            <w:r w:rsidR="005C365A">
              <w:rPr>
                <w:rFonts w:cs="Arial"/>
                <w:color w:val="auto"/>
                <w:lang w:val="sr-Latn-CS" w:eastAsia="sr-Latn-CS"/>
              </w:rPr>
              <w:fldChar w:fldCharType="separate"/>
            </w:r>
            <w:r>
              <w:rPr>
                <w:rFonts w:cs="Arial"/>
                <w:noProof/>
                <w:color w:val="auto"/>
                <w:lang w:val="sr-Latn-CS" w:eastAsia="sr-Latn-CS"/>
              </w:rPr>
              <w:t>231,51</w:t>
            </w:r>
            <w:r w:rsidR="005C365A">
              <w:rPr>
                <w:rFonts w:cs="Arial"/>
                <w:color w:val="auto"/>
                <w:lang w:val="sr-Latn-CS" w:eastAsia="sr-Latn-CS"/>
              </w:rPr>
              <w:fldChar w:fldCharType="end"/>
            </w:r>
          </w:p>
        </w:tc>
        <w:tc>
          <w:tcPr>
            <w:tcW w:w="1548" w:type="dxa"/>
            <w:tcBorders>
              <w:top w:val="nil"/>
              <w:left w:val="nil"/>
              <w:bottom w:val="threeDEngrave" w:sz="6" w:space="0" w:color="auto"/>
            </w:tcBorders>
          </w:tcPr>
          <w:p w:rsidR="00EA3365" w:rsidRPr="006E0427" w:rsidRDefault="00EA3365" w:rsidP="00EA3365">
            <w:pPr>
              <w:jc w:val="center"/>
              <w:rPr>
                <w:rFonts w:cs="Arial"/>
                <w:color w:val="auto"/>
                <w:lang w:val="sr-Latn-CS" w:eastAsia="sr-Latn-CS"/>
              </w:rPr>
            </w:pPr>
            <w:r w:rsidRPr="000761CF">
              <w:rPr>
                <w:rFonts w:cs="Arial"/>
                <w:bCs/>
                <w:color w:val="auto"/>
                <w:position w:val="-10"/>
                <w:lang w:val="sr-Cyrl-CS" w:eastAsia="sr-Latn-CS"/>
              </w:rPr>
              <w:object w:dxaOrig="400" w:dyaOrig="340">
                <v:shape id="_x0000_i1064" type="#_x0000_t75" style="width:20.05pt;height:16.9pt" o:ole="">
                  <v:imagedata r:id="rId39" o:title=""/>
                </v:shape>
                <o:OLEObject Type="Embed" ProgID="Equation.3" ShapeID="_x0000_i1064" DrawAspect="Content" ObjectID="_1566933402" r:id="rId78"/>
              </w:object>
            </w:r>
            <w:r>
              <w:rPr>
                <w:rFonts w:cs="Arial"/>
                <w:bCs/>
                <w:color w:val="auto"/>
                <w:lang w:val="sr-Cyrl-CS" w:eastAsia="sr-Latn-CS"/>
              </w:rPr>
              <w:t>=</w:t>
            </w:r>
            <w:r w:rsidR="005C365A">
              <w:rPr>
                <w:rFonts w:cs="Arial"/>
                <w:color w:val="auto"/>
                <w:lang w:val="sr-Latn-CS" w:eastAsia="sr-Latn-CS"/>
              </w:rPr>
              <w:fldChar w:fldCharType="begin"/>
            </w:r>
            <w:r>
              <w:rPr>
                <w:rFonts w:cs="Arial"/>
                <w:color w:val="auto"/>
                <w:lang w:val="sr-Latn-CS" w:eastAsia="sr-Latn-CS"/>
              </w:rPr>
              <w:instrText xml:space="preserve"> =SUM(ABOVE) \# "0,00" </w:instrText>
            </w:r>
            <w:r w:rsidR="005C365A">
              <w:rPr>
                <w:rFonts w:cs="Arial"/>
                <w:color w:val="auto"/>
                <w:lang w:val="sr-Latn-CS" w:eastAsia="sr-Latn-CS"/>
              </w:rPr>
              <w:fldChar w:fldCharType="separate"/>
            </w:r>
            <w:r>
              <w:rPr>
                <w:rFonts w:cs="Arial"/>
                <w:noProof/>
                <w:color w:val="auto"/>
                <w:lang w:val="sr-Latn-CS" w:eastAsia="sr-Latn-CS"/>
              </w:rPr>
              <w:t>965,69</w:t>
            </w:r>
            <w:r w:rsidR="005C365A">
              <w:rPr>
                <w:rFonts w:cs="Arial"/>
                <w:color w:val="auto"/>
                <w:lang w:val="sr-Latn-CS" w:eastAsia="sr-Latn-CS"/>
              </w:rPr>
              <w:fldChar w:fldCharType="end"/>
            </w:r>
          </w:p>
        </w:tc>
      </w:tr>
    </w:tbl>
    <w:p w:rsidR="00EA3365" w:rsidRPr="00415164" w:rsidRDefault="00EA3365" w:rsidP="00EA3365">
      <w:pPr>
        <w:spacing w:before="0"/>
        <w:rPr>
          <w:rFonts w:cs="Arial"/>
          <w:lang w:val="sr-Cyrl-CS" w:eastAsia="sr-Latn-CS"/>
        </w:rPr>
      </w:pPr>
    </w:p>
    <w:p w:rsidR="00EA3365" w:rsidRDefault="00EA3365" w:rsidP="00EA3365">
      <w:pPr>
        <w:spacing w:before="0"/>
        <w:rPr>
          <w:rFonts w:cs="Arial"/>
          <w:color w:val="auto"/>
          <w:lang w:val="sr-Latn-CS" w:eastAsia="sr-Latn-CS"/>
        </w:rPr>
      </w:pPr>
      <w:r>
        <w:rPr>
          <w:rFonts w:cs="Arial"/>
          <w:lang w:val="sr-Cyrl-CS" w:eastAsia="sr-Latn-CS"/>
        </w:rPr>
        <w:t>Из табеле 1.10 и</w:t>
      </w:r>
      <w:r w:rsidRPr="00581A83">
        <w:rPr>
          <w:rFonts w:cs="Arial"/>
          <w:lang w:val="sr-Cyrl-CS" w:eastAsia="sr-Latn-CS"/>
        </w:rPr>
        <w:t xml:space="preserve">мамо да је </w:t>
      </w:r>
      <w:r w:rsidRPr="00480AEE">
        <w:rPr>
          <w:rFonts w:cs="Arial"/>
          <w:i/>
          <w:iCs/>
          <w:color w:val="auto"/>
          <w:lang w:val="sr-Latn-CS" w:eastAsia="sr-Latn-CS"/>
        </w:rPr>
        <w:t>n</w:t>
      </w:r>
      <w:r w:rsidRPr="00480AEE">
        <w:rPr>
          <w:rFonts w:cs="Arial"/>
          <w:color w:val="auto"/>
          <w:lang w:val="sr-Latn-CS" w:eastAsia="sr-Latn-CS"/>
        </w:rPr>
        <w:t xml:space="preserve"> = 57, </w:t>
      </w:r>
      <w:r w:rsidRPr="00891ACC">
        <w:rPr>
          <w:rFonts w:cs="Arial"/>
          <w:color w:val="auto"/>
          <w:position w:val="-14"/>
          <w:lang w:val="sr-Latn-CS" w:eastAsia="sr-Latn-CS"/>
        </w:rPr>
        <w:object w:dxaOrig="1320" w:dyaOrig="380">
          <v:shape id="_x0000_i1065" type="#_x0000_t75" style="width:65.75pt;height:18.8pt" o:ole="">
            <v:imagedata r:id="rId79" o:title=""/>
          </v:shape>
          <o:OLEObject Type="Embed" ProgID="Equation.3" ShapeID="_x0000_i1065" DrawAspect="Content" ObjectID="_1566933403" r:id="rId80"/>
        </w:object>
      </w:r>
      <w:r w:rsidRPr="00480AEE">
        <w:rPr>
          <w:rFonts w:cs="Arial"/>
          <w:color w:val="auto"/>
          <w:lang w:val="sr-Latn-CS" w:eastAsia="sr-Latn-CS"/>
        </w:rPr>
        <w:t xml:space="preserve">, </w:t>
      </w:r>
      <w:r w:rsidRPr="001860BA">
        <w:rPr>
          <w:rFonts w:cs="Arial"/>
          <w:color w:val="auto"/>
          <w:lang w:val="sr-Latn-CS" w:eastAsia="sr-Latn-CS"/>
        </w:rPr>
        <w:t>∑</w:t>
      </w:r>
      <w:r w:rsidRPr="00480AEE">
        <w:rPr>
          <w:rFonts w:cs="Arial"/>
          <w:i/>
          <w:iCs/>
          <w:color w:val="auto"/>
          <w:lang w:val="sr-Latn-CS" w:eastAsia="sr-Latn-CS"/>
        </w:rPr>
        <w:t>x</w:t>
      </w:r>
      <w:r w:rsidRPr="00480AEE"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480AEE">
        <w:rPr>
          <w:rFonts w:cs="Arial"/>
          <w:color w:val="auto"/>
          <w:vertAlign w:val="superscript"/>
          <w:lang w:val="sr-Latn-CS" w:eastAsia="sr-Latn-CS"/>
        </w:rPr>
        <w:t>2</w:t>
      </w:r>
      <w:r w:rsidRPr="00480AEE">
        <w:rPr>
          <w:rFonts w:cs="Arial"/>
          <w:color w:val="auto"/>
          <w:lang w:val="sr-Latn-CS" w:eastAsia="sr-Latn-CS"/>
        </w:rPr>
        <w:t xml:space="preserve"> = 965.</w:t>
      </w:r>
      <w:r>
        <w:rPr>
          <w:rFonts w:cs="Arial"/>
          <w:color w:val="auto"/>
          <w:lang w:val="sr-Latn-CS" w:eastAsia="sr-Latn-CS"/>
        </w:rPr>
        <w:t>69</w:t>
      </w:r>
      <w:r w:rsidRPr="00480AEE">
        <w:rPr>
          <w:rFonts w:cs="Arial"/>
          <w:color w:val="auto"/>
          <w:lang w:val="sr-Latn-CS" w:eastAsia="sr-Latn-CS"/>
        </w:rPr>
        <w:t>:</w:t>
      </w:r>
    </w:p>
    <w:p w:rsidR="00EA3365" w:rsidRDefault="00EA3365" w:rsidP="00EA3365">
      <w:pPr>
        <w:pStyle w:val="Equation1"/>
        <w:rPr>
          <w:lang w:eastAsia="sr-Latn-CS"/>
        </w:rPr>
      </w:pPr>
      <w:r w:rsidRPr="006473EC">
        <w:rPr>
          <w:position w:val="-20"/>
          <w:lang w:eastAsia="sr-Latn-CS"/>
        </w:rPr>
        <w:object w:dxaOrig="7440" w:dyaOrig="680">
          <v:shape id="_x0000_i1066" type="#_x0000_t75" style="width:371.9pt;height:33.8pt" o:ole="">
            <v:imagedata r:id="rId81" o:title=""/>
          </v:shape>
          <o:OLEObject Type="Embed" ProgID="Equation.3" ShapeID="_x0000_i1066" DrawAspect="Content" ObjectID="_1566933404" r:id="rId82"/>
        </w:object>
      </w:r>
    </w:p>
    <w:p w:rsidR="00EA3365" w:rsidRDefault="00EA3365" w:rsidP="00EA3365">
      <w:pPr>
        <w:pStyle w:val="Equation1"/>
        <w:rPr>
          <w:lang w:eastAsia="sr-Latn-CS"/>
        </w:rPr>
      </w:pPr>
      <w:r w:rsidRPr="00E96559">
        <w:rPr>
          <w:position w:val="-20"/>
        </w:rPr>
        <w:object w:dxaOrig="3480" w:dyaOrig="540">
          <v:shape id="_x0000_i1067" type="#_x0000_t75" style="width:174.05pt;height:26.9pt" o:ole="">
            <v:imagedata r:id="rId83" o:title=""/>
          </v:shape>
          <o:OLEObject Type="Embed" ProgID="Equation.3" ShapeID="_x0000_i1067" DrawAspect="Content" ObjectID="_1566933405" r:id="rId84"/>
        </w:object>
      </w:r>
    </w:p>
    <w:p w:rsidR="00EA3365" w:rsidRPr="00F34764" w:rsidRDefault="00EA3365" w:rsidP="00EA3365">
      <w:pPr>
        <w:spacing w:before="0"/>
        <w:rPr>
          <w:rFonts w:cs="Arial"/>
          <w:lang w:val="sr-Cyrl-CS"/>
        </w:rPr>
      </w:pPr>
      <w:r>
        <w:rPr>
          <w:rFonts w:cs="Arial"/>
        </w:rPr>
        <w:t>Стандардно</w:t>
      </w:r>
      <w:r>
        <w:rPr>
          <w:rFonts w:cs="Arial"/>
          <w:lang w:val="sr-Cyrl-CS"/>
        </w:rPr>
        <w:t xml:space="preserve"> одступање је </w:t>
      </w:r>
      <w:r w:rsidRPr="0004009F">
        <w:rPr>
          <w:position w:val="-8"/>
          <w:lang w:val="it-IT" w:eastAsia="sr-Latn-CS"/>
        </w:rPr>
        <w:object w:dxaOrig="2260" w:dyaOrig="380">
          <v:shape id="_x0000_i1068" type="#_x0000_t75" style="width:112.7pt;height:18.8pt" o:ole="">
            <v:imagedata r:id="rId85" o:title=""/>
          </v:shape>
          <o:OLEObject Type="Embed" ProgID="Equation.3" ShapeID="_x0000_i1068" DrawAspect="Content" ObjectID="_1566933406" r:id="rId86"/>
        </w:object>
      </w:r>
      <w:r>
        <w:rPr>
          <w:lang w:val="sr-Cyrl-CS" w:eastAsia="sr-Latn-CS"/>
        </w:rPr>
        <w:t>литара</w:t>
      </w:r>
    </w:p>
    <w:p w:rsidR="00EA3365" w:rsidRPr="00581A83" w:rsidRDefault="00EA3365" w:rsidP="00EA3365">
      <w:pPr>
        <w:spacing w:before="0"/>
        <w:ind w:firstLine="567"/>
        <w:rPr>
          <w:rFonts w:cs="Arial"/>
          <w:lang w:eastAsia="sr-Latn-CS"/>
        </w:rPr>
      </w:pPr>
      <w:r>
        <w:rPr>
          <w:rFonts w:cs="Arial"/>
          <w:lang w:val="pl-PL" w:eastAsia="sr-Latn-CS"/>
        </w:rPr>
        <w:lastRenderedPageBreak/>
        <w:t>Слика</w:t>
      </w:r>
      <w:r w:rsidRPr="00581A83">
        <w:rPr>
          <w:rFonts w:cs="Arial"/>
          <w:lang w:eastAsia="sr-Latn-CS"/>
        </w:rPr>
        <w:t xml:space="preserve"> 1.14 </w:t>
      </w:r>
      <w:r>
        <w:rPr>
          <w:rFonts w:cs="Arial"/>
          <w:lang w:val="pl-PL" w:eastAsia="sr-Latn-CS"/>
        </w:rPr>
        <w:t>приказује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однос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између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средине</w:t>
      </w:r>
      <w:r w:rsidRPr="00581A83">
        <w:rPr>
          <w:rFonts w:cs="Arial"/>
          <w:lang w:eastAsia="sr-Latn-CS"/>
        </w:rPr>
        <w:t xml:space="preserve">, </w:t>
      </w:r>
      <w:r>
        <w:rPr>
          <w:rFonts w:cs="Arial"/>
          <w:lang w:val="pl-PL" w:eastAsia="sr-Latn-CS"/>
        </w:rPr>
        <w:t>стандардног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одступања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расподеле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учесталости</w:t>
      </w:r>
      <w:r w:rsidRPr="00581A83">
        <w:rPr>
          <w:rFonts w:cs="Arial"/>
          <w:lang w:eastAsia="sr-Latn-CS"/>
        </w:rPr>
        <w:t xml:space="preserve">. </w:t>
      </w:r>
      <w:r>
        <w:rPr>
          <w:rFonts w:cs="Arial"/>
          <w:lang w:val="pl-PL" w:eastAsia="sr-Latn-CS"/>
        </w:rPr>
        <w:t>За</w:t>
      </w:r>
      <w:r w:rsidRPr="00581A83">
        <w:rPr>
          <w:rFonts w:cs="Arial"/>
          <w:lang w:eastAsia="sr-Latn-CS"/>
        </w:rPr>
        <w:t xml:space="preserve"> FEV1, </w:t>
      </w:r>
      <w:r>
        <w:rPr>
          <w:rFonts w:cs="Arial"/>
          <w:lang w:val="pl-PL" w:eastAsia="sr-Latn-CS"/>
        </w:rPr>
        <w:t>видимо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већина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посматрања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оквиру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једног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стандардног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одступања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средине</w:t>
      </w:r>
      <w:r w:rsidRPr="00581A83">
        <w:rPr>
          <w:rFonts w:cs="Arial"/>
          <w:lang w:eastAsia="sr-Latn-CS"/>
        </w:rPr>
        <w:t xml:space="preserve">, </w:t>
      </w:r>
      <w:r>
        <w:rPr>
          <w:rFonts w:cs="Arial"/>
          <w:lang w:val="pl-PL" w:eastAsia="sr-Latn-CS"/>
        </w:rPr>
        <w:t>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скоро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све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оквиру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два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стандардна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одступања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средине</w:t>
      </w:r>
      <w:r w:rsidRPr="00581A83">
        <w:rPr>
          <w:rFonts w:cs="Arial"/>
          <w:lang w:eastAsia="sr-Latn-CS"/>
        </w:rPr>
        <w:t xml:space="preserve">. </w:t>
      </w:r>
      <w:r>
        <w:rPr>
          <w:rFonts w:cs="Arial"/>
          <w:lang w:val="pl-PL" w:eastAsia="sr-Latn-CS"/>
        </w:rPr>
        <w:t>Постоји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мали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део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хистограма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ван</w:t>
      </w:r>
      <w:r w:rsidRPr="00581A83">
        <w:rPr>
          <w:rFonts w:cs="Arial"/>
          <w:lang w:eastAsia="sr-Latn-CS"/>
        </w:rPr>
        <w:t xml:space="preserve"> </w:t>
      </w:r>
      <w:r w:rsidRPr="006E723D">
        <w:rPr>
          <w:position w:val="-4"/>
          <w:lang w:eastAsia="sr-Latn-CS"/>
        </w:rPr>
        <w:object w:dxaOrig="200" w:dyaOrig="279">
          <v:shape id="_x0000_i1069" type="#_x0000_t75" style="width:10pt;height:13.75pt" o:ole="">
            <v:imagedata r:id="rId29" o:title=""/>
          </v:shape>
          <o:OLEObject Type="Embed" ProgID="Equation.3" ShapeID="_x0000_i1069" DrawAspect="Content" ObjectID="_1566933407" r:id="rId87"/>
        </w:object>
      </w:r>
      <w:r>
        <w:rPr>
          <w:rFonts w:cs="Arial"/>
          <w:lang w:val="sr-Cyrl-CS" w:eastAsia="sr-Latn-CS"/>
        </w:rPr>
        <w:t>-</w:t>
      </w:r>
      <w:r w:rsidRPr="00581A83">
        <w:rPr>
          <w:rFonts w:cs="Arial"/>
          <w:lang w:eastAsia="sr-Latn-CS"/>
        </w:rPr>
        <w:t xml:space="preserve"> 2</w:t>
      </w:r>
      <w:r>
        <w:rPr>
          <w:rFonts w:cs="Arial"/>
          <w:i/>
          <w:lang w:val="sr-Latn-CS" w:eastAsia="sr-Latn-CS"/>
        </w:rPr>
        <w:t>s</w:t>
      </w:r>
      <w:r w:rsidRPr="00581A83">
        <w:rPr>
          <w:rFonts w:cs="Arial"/>
          <w:i/>
          <w:lang w:eastAsia="sr-Latn-CS"/>
        </w:rPr>
        <w:t xml:space="preserve"> </w:t>
      </w:r>
      <w:r>
        <w:rPr>
          <w:rFonts w:cs="Arial"/>
          <w:lang w:val="pl-PL" w:eastAsia="sr-Latn-CS"/>
        </w:rPr>
        <w:t>до</w:t>
      </w:r>
      <w:r w:rsidRPr="00581A83">
        <w:rPr>
          <w:rFonts w:cs="Arial"/>
          <w:lang w:eastAsia="sr-Latn-CS"/>
        </w:rPr>
        <w:t xml:space="preserve"> </w:t>
      </w:r>
      <w:r w:rsidRPr="006E723D">
        <w:rPr>
          <w:position w:val="-4"/>
          <w:lang w:eastAsia="sr-Latn-CS"/>
        </w:rPr>
        <w:object w:dxaOrig="200" w:dyaOrig="279">
          <v:shape id="_x0000_i1070" type="#_x0000_t75" style="width:10pt;height:13.75pt" o:ole="">
            <v:imagedata r:id="rId29" o:title=""/>
          </v:shape>
          <o:OLEObject Type="Embed" ProgID="Equation.3" ShapeID="_x0000_i1070" DrawAspect="Content" ObjectID="_1566933408" r:id="rId88"/>
        </w:object>
      </w:r>
      <w:r w:rsidRPr="00581A83">
        <w:rPr>
          <w:rFonts w:cs="Arial"/>
          <w:lang w:eastAsia="sr-Latn-CS"/>
        </w:rPr>
        <w:t>+ 2s</w:t>
      </w:r>
      <w:r w:rsidRPr="00581A83">
        <w:rPr>
          <w:rFonts w:cs="Arial"/>
          <w:i/>
          <w:lang w:eastAsia="sr-Latn-CS"/>
        </w:rPr>
        <w:t xml:space="preserve"> </w:t>
      </w:r>
      <w:r>
        <w:rPr>
          <w:rFonts w:cs="Arial"/>
          <w:lang w:val="pl-PL" w:eastAsia="sr-Latn-CS"/>
        </w:rPr>
        <w:t>интервал</w:t>
      </w:r>
      <w:r>
        <w:rPr>
          <w:rFonts w:cs="Arial"/>
          <w:lang w:val="sr-Cyrl-CS" w:eastAsia="sr-Latn-CS"/>
        </w:rPr>
        <w:t>а</w:t>
      </w:r>
      <w:r w:rsidRPr="00581A83">
        <w:rPr>
          <w:rFonts w:cs="Arial"/>
          <w:lang w:eastAsia="sr-Latn-CS"/>
        </w:rPr>
        <w:t xml:space="preserve">, </w:t>
      </w:r>
      <w:r>
        <w:rPr>
          <w:rFonts w:cs="Arial"/>
          <w:lang w:val="pl-PL" w:eastAsia="sr-Latn-CS"/>
        </w:rPr>
        <w:t>на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свакој</w:t>
      </w:r>
      <w:r w:rsidRPr="00581A83">
        <w:rPr>
          <w:rFonts w:cs="Arial"/>
          <w:lang w:eastAsia="sr-Latn-CS"/>
        </w:rPr>
        <w:t xml:space="preserve">  </w:t>
      </w:r>
      <w:r>
        <w:rPr>
          <w:rFonts w:cs="Arial"/>
          <w:lang w:val="pl-PL" w:eastAsia="sr-Latn-CS"/>
        </w:rPr>
        <w:t>страни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овог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симетричног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хистограма</w:t>
      </w:r>
      <w:r w:rsidRPr="00581A83">
        <w:rPr>
          <w:rFonts w:cs="Arial"/>
          <w:lang w:eastAsia="sr-Latn-CS"/>
        </w:rPr>
        <w:t>. K</w:t>
      </w:r>
      <w:r>
        <w:rPr>
          <w:rFonts w:cs="Arial"/>
          <w:lang w:val="pl-PL" w:eastAsia="sr-Latn-CS"/>
        </w:rPr>
        <w:t>ао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што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слика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581A83">
        <w:rPr>
          <w:rFonts w:cs="Arial"/>
          <w:lang w:eastAsia="sr-Latn-CS"/>
        </w:rPr>
        <w:t xml:space="preserve">.14 </w:t>
      </w:r>
      <w:r>
        <w:rPr>
          <w:rFonts w:cs="Arial"/>
          <w:lang w:val="pl-PL" w:eastAsia="sr-Latn-CS"/>
        </w:rPr>
        <w:t>такође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показује</w:t>
      </w:r>
      <w:r w:rsidRPr="00581A83">
        <w:rPr>
          <w:rFonts w:cs="Arial"/>
          <w:lang w:eastAsia="sr-Latn-CS"/>
        </w:rPr>
        <w:t xml:space="preserve">, </w:t>
      </w:r>
      <w:r>
        <w:rPr>
          <w:rFonts w:cs="Arial"/>
          <w:lang w:val="pl-PL" w:eastAsia="sr-Latn-CS"/>
        </w:rPr>
        <w:t>ово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важи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високо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искошене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податке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триглицеридима</w:t>
      </w:r>
      <w:r w:rsidRPr="00581A83">
        <w:rPr>
          <w:rFonts w:cs="Arial"/>
          <w:lang w:eastAsia="sr-Latn-CS"/>
        </w:rPr>
        <w:t xml:space="preserve">. </w:t>
      </w:r>
      <w:r>
        <w:rPr>
          <w:rFonts w:cs="Arial"/>
          <w:lang w:val="sr-Cyrl-CS" w:eastAsia="sr-Latn-CS"/>
        </w:rPr>
        <w:t>М</w:t>
      </w:r>
      <w:r>
        <w:rPr>
          <w:rFonts w:cs="Arial"/>
          <w:lang w:val="pl-PL" w:eastAsia="sr-Latn-CS"/>
        </w:rPr>
        <w:t>еђутим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sr-Cyrl-CS" w:eastAsia="sr-Latn-CS"/>
        </w:rPr>
        <w:t>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овом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случају</w:t>
      </w:r>
      <w:r>
        <w:rPr>
          <w:rFonts w:cs="Arial"/>
          <w:lang w:val="sr-Cyrl-CS" w:eastAsia="sr-Latn-CS"/>
        </w:rPr>
        <w:t xml:space="preserve"> удаљена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посматрања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сва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једном</w:t>
      </w:r>
      <w:r w:rsidRPr="00581A83">
        <w:rPr>
          <w:rFonts w:cs="Arial"/>
          <w:lang w:eastAsia="sr-Latn-CS"/>
        </w:rPr>
        <w:t xml:space="preserve"> </w:t>
      </w:r>
      <w:r w:rsidR="000F265E">
        <w:rPr>
          <w:rFonts w:cs="Arial"/>
          <w:lang w:val="sr-Cyrl-CS" w:eastAsia="sr-Latn-CS"/>
        </w:rPr>
        <w:t>крају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расподеле</w:t>
      </w:r>
      <w:r w:rsidRPr="00581A83">
        <w:rPr>
          <w:rFonts w:cs="Arial"/>
          <w:lang w:eastAsia="sr-Latn-CS"/>
        </w:rPr>
        <w:t xml:space="preserve">. </w:t>
      </w:r>
      <w:r>
        <w:rPr>
          <w:rFonts w:cs="Arial"/>
          <w:lang w:val="pl-PL" w:eastAsia="sr-Latn-CS"/>
        </w:rPr>
        <w:t>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принципу</w:t>
      </w:r>
      <w:r w:rsidRPr="00581A83">
        <w:rPr>
          <w:rFonts w:cs="Arial"/>
          <w:lang w:eastAsia="sr-Latn-CS"/>
        </w:rPr>
        <w:t xml:space="preserve">, </w:t>
      </w:r>
      <w:r>
        <w:rPr>
          <w:rFonts w:cs="Arial"/>
          <w:lang w:val="pl-PL" w:eastAsia="sr-Latn-CS"/>
        </w:rPr>
        <w:t>очекујемо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</w:t>
      </w:r>
      <w:r>
        <w:rPr>
          <w:rFonts w:cs="Arial"/>
          <w:lang w:val="pl-PL" w:eastAsia="sr-Latn-CS"/>
        </w:rPr>
        <w:t>око</w:t>
      </w:r>
      <w:r w:rsidRPr="00581A83">
        <w:rPr>
          <w:rFonts w:cs="Arial"/>
          <w:lang w:eastAsia="sr-Latn-CS"/>
        </w:rPr>
        <w:t xml:space="preserve"> 2/3 </w:t>
      </w:r>
      <w:r>
        <w:rPr>
          <w:rFonts w:cs="Arial"/>
          <w:lang w:val="pl-PL" w:eastAsia="sr-Latn-CS"/>
        </w:rPr>
        <w:t>посматрања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буде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смештено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оквиру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једн</w:t>
      </w:r>
      <w:r>
        <w:rPr>
          <w:rFonts w:cs="Arial"/>
          <w:lang w:val="sr-Cyrl-CS" w:eastAsia="sr-Latn-CS"/>
        </w:rPr>
        <w:t>ог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стандардног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одступања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sr-Cyrl-CS" w:eastAsia="sr-Latn-CS"/>
        </w:rPr>
        <w:t xml:space="preserve">од </w:t>
      </w:r>
      <w:r>
        <w:rPr>
          <w:rFonts w:cs="Arial"/>
          <w:lang w:val="pl-PL" w:eastAsia="sr-Latn-CS"/>
        </w:rPr>
        <w:t>средине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581A83">
        <w:rPr>
          <w:rFonts w:cs="Arial"/>
          <w:lang w:eastAsia="sr-Latn-CS"/>
        </w:rPr>
        <w:t xml:space="preserve"> 95% </w:t>
      </w:r>
      <w:r>
        <w:rPr>
          <w:rFonts w:cs="Arial"/>
          <w:lang w:val="pl-PL" w:eastAsia="sr-Latn-CS"/>
        </w:rPr>
        <w:t>да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буде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смештено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оквиру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два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стандардна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одступања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581A83">
        <w:rPr>
          <w:rFonts w:cs="Arial"/>
          <w:lang w:eastAsia="sr-Latn-CS"/>
        </w:rPr>
        <w:t xml:space="preserve"> </w:t>
      </w:r>
      <w:r>
        <w:rPr>
          <w:rFonts w:cs="Arial"/>
          <w:lang w:val="pl-PL" w:eastAsia="sr-Latn-CS"/>
        </w:rPr>
        <w:t>средине</w:t>
      </w:r>
      <w:r w:rsidRPr="00581A83">
        <w:rPr>
          <w:rFonts w:cs="Arial"/>
          <w:lang w:eastAsia="sr-Latn-CS"/>
        </w:rPr>
        <w:t>.</w:t>
      </w:r>
    </w:p>
    <w:p w:rsidR="00EA3365" w:rsidRDefault="00E91132" w:rsidP="00EA336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335270" cy="2019935"/>
            <wp:effectExtent l="19050" t="0" r="0" b="0"/>
            <wp:docPr id="53" name="Picture 53" descr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Slika 1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5270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365" w:rsidRDefault="00EA3365" w:rsidP="00EA3365">
      <w:pPr>
        <w:pStyle w:val="Figure1"/>
        <w:rPr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Latn-CS" w:eastAsia="sr-Latn-CS"/>
        </w:rPr>
        <w:t>1</w:t>
      </w:r>
      <w:r w:rsidRPr="001860BA">
        <w:rPr>
          <w:rFonts w:cs="Arial"/>
          <w:bCs/>
          <w:color w:val="auto"/>
          <w:lang w:val="sr-Latn-CS" w:eastAsia="sr-Latn-CS"/>
        </w:rPr>
        <w:t>.14</w:t>
      </w:r>
      <w:r>
        <w:rPr>
          <w:rFonts w:cs="Arial"/>
          <w:bCs/>
          <w:color w:val="auto"/>
          <w:lang w:val="sr-Latn-CS" w:eastAsia="sr-Latn-CS"/>
        </w:rPr>
        <w:t xml:space="preserve"> 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v-SE" w:eastAsia="sr-Latn-CS"/>
        </w:rPr>
        <w:t>Хистограми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FEV</w:t>
      </w:r>
      <w:r w:rsidRPr="00E779C8">
        <w:rPr>
          <w:rFonts w:cs="Arial"/>
          <w:lang w:val="sv-SE" w:eastAsia="sr-Latn-CS"/>
        </w:rPr>
        <w:t xml:space="preserve">1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триглицерида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средином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стандардним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одступањем</w:t>
      </w:r>
    </w:p>
    <w:sectPr w:rsidR="00EA3365" w:rsidSect="00F121A0">
      <w:headerReference w:type="default" r:id="rId90"/>
      <w:footerReference w:type="even" r:id="rId91"/>
      <w:footerReference w:type="default" r:id="rId92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AE8" w:rsidRDefault="007A5AE8">
      <w:r>
        <w:separator/>
      </w:r>
    </w:p>
  </w:endnote>
  <w:endnote w:type="continuationSeparator" w:id="1">
    <w:p w:rsidR="007A5AE8" w:rsidRDefault="007A5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365" w:rsidRDefault="005C365A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A336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A3365" w:rsidRDefault="00EA336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365" w:rsidRDefault="005C365A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A336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12F0">
      <w:rPr>
        <w:rStyle w:val="PageNumber"/>
        <w:noProof/>
      </w:rPr>
      <w:t>3</w:t>
    </w:r>
    <w:r>
      <w:rPr>
        <w:rStyle w:val="PageNumber"/>
      </w:rPr>
      <w:fldChar w:fldCharType="end"/>
    </w:r>
    <w:r w:rsidR="00EA3365">
      <w:rPr>
        <w:rStyle w:val="PageNumber"/>
      </w:rPr>
      <w:t>/</w:t>
    </w:r>
    <w:r>
      <w:rPr>
        <w:rStyle w:val="PageNumber"/>
      </w:rPr>
      <w:fldChar w:fldCharType="begin"/>
    </w:r>
    <w:r w:rsidR="00EA336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B12F0">
      <w:rPr>
        <w:rStyle w:val="PageNumber"/>
        <w:noProof/>
      </w:rPr>
      <w:t>12</w:t>
    </w:r>
    <w:r>
      <w:rPr>
        <w:rStyle w:val="PageNumber"/>
      </w:rPr>
      <w:fldChar w:fldCharType="end"/>
    </w:r>
  </w:p>
  <w:p w:rsidR="00EA3365" w:rsidRPr="001653E0" w:rsidRDefault="005C365A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EA3365" w:rsidRPr="00FC1F3E">
      <w:rPr>
        <w:noProof/>
        <w:sz w:val="16"/>
        <w:szCs w:val="16"/>
        <w:lang w:val="en-US"/>
      </w:rPr>
      <w:t>Назив предавања: &lt;</w:t>
    </w:r>
    <w:r w:rsidR="00EA3365">
      <w:rPr>
        <w:noProof/>
        <w:sz w:val="16"/>
        <w:szCs w:val="16"/>
        <w:lang w:val="sr-Cyrl-CS"/>
      </w:rPr>
      <w:t>С</w:t>
    </w:r>
    <w:r w:rsidR="00D1363E">
      <w:rPr>
        <w:noProof/>
        <w:sz w:val="16"/>
        <w:szCs w:val="16"/>
        <w:lang w:val="en-US"/>
      </w:rPr>
      <w:t>умирање</w:t>
    </w:r>
    <w:r w:rsidR="00EA3365" w:rsidRPr="00FC1F3E">
      <w:rPr>
        <w:noProof/>
        <w:sz w:val="16"/>
        <w:szCs w:val="16"/>
        <w:lang w:val="en-US"/>
      </w:rPr>
      <w:t>&gt;</w:t>
    </w:r>
    <w:r w:rsidR="00EA3365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AE8" w:rsidRDefault="007A5AE8">
      <w:r>
        <w:separator/>
      </w:r>
    </w:p>
  </w:footnote>
  <w:footnote w:type="continuationSeparator" w:id="1">
    <w:p w:rsidR="007A5AE8" w:rsidRDefault="007A5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365" w:rsidRDefault="00EA3365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EA3365" w:rsidRPr="004B12F0" w:rsidRDefault="00EA3365">
    <w:pPr>
      <w:pStyle w:val="Header"/>
      <w:spacing w:before="0"/>
      <w:rPr>
        <w:b/>
        <w:sz w:val="16"/>
        <w:szCs w:val="16"/>
        <w:lang w:val="en-U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822C62" w:rsidRPr="00822C62">
      <w:rPr>
        <w:sz w:val="16"/>
        <w:szCs w:val="16"/>
        <w:lang w:val="es-ES"/>
      </w:rPr>
      <w:t>МЕДИЦИНСКА СТАТИСТИКА И ИНФОРМАТИКА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4B12F0">
      <w:rPr>
        <w:b/>
        <w:sz w:val="16"/>
        <w:szCs w:val="16"/>
        <w:lang w:val="en-US"/>
      </w:rPr>
      <w:t>9</w:t>
    </w:r>
  </w:p>
  <w:p w:rsidR="00EA3365" w:rsidRDefault="005C365A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3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B11B31"/>
    <w:multiLevelType w:val="hybridMultilevel"/>
    <w:tmpl w:val="DB22229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15"/>
  </w:num>
  <w:num w:numId="3">
    <w:abstractNumId w:val="6"/>
  </w:num>
  <w:num w:numId="4">
    <w:abstractNumId w:val="7"/>
  </w:num>
  <w:num w:numId="5">
    <w:abstractNumId w:val="31"/>
  </w:num>
  <w:num w:numId="6">
    <w:abstractNumId w:val="4"/>
  </w:num>
  <w:num w:numId="7">
    <w:abstractNumId w:val="11"/>
  </w:num>
  <w:num w:numId="8">
    <w:abstractNumId w:val="20"/>
  </w:num>
  <w:num w:numId="9">
    <w:abstractNumId w:val="28"/>
  </w:num>
  <w:num w:numId="10">
    <w:abstractNumId w:val="17"/>
  </w:num>
  <w:num w:numId="11">
    <w:abstractNumId w:val="24"/>
  </w:num>
  <w:num w:numId="12">
    <w:abstractNumId w:val="16"/>
  </w:num>
  <w:num w:numId="13">
    <w:abstractNumId w:val="1"/>
  </w:num>
  <w:num w:numId="14">
    <w:abstractNumId w:val="2"/>
  </w:num>
  <w:num w:numId="15">
    <w:abstractNumId w:val="22"/>
  </w:num>
  <w:num w:numId="16">
    <w:abstractNumId w:val="27"/>
  </w:num>
  <w:num w:numId="17">
    <w:abstractNumId w:val="25"/>
  </w:num>
  <w:num w:numId="18">
    <w:abstractNumId w:val="21"/>
  </w:num>
  <w:num w:numId="19">
    <w:abstractNumId w:val="13"/>
  </w:num>
  <w:num w:numId="20">
    <w:abstractNumId w:val="19"/>
  </w:num>
  <w:num w:numId="21">
    <w:abstractNumId w:val="14"/>
  </w:num>
  <w:num w:numId="22">
    <w:abstractNumId w:val="29"/>
  </w:num>
  <w:num w:numId="23">
    <w:abstractNumId w:val="32"/>
  </w:num>
  <w:num w:numId="24">
    <w:abstractNumId w:val="0"/>
  </w:num>
  <w:num w:numId="25">
    <w:abstractNumId w:val="10"/>
  </w:num>
  <w:num w:numId="26">
    <w:abstractNumId w:val="9"/>
  </w:num>
  <w:num w:numId="27">
    <w:abstractNumId w:val="3"/>
  </w:num>
  <w:num w:numId="28">
    <w:abstractNumId w:val="18"/>
  </w:num>
  <w:num w:numId="29">
    <w:abstractNumId w:val="30"/>
  </w:num>
  <w:num w:numId="30">
    <w:abstractNumId w:val="5"/>
  </w:num>
  <w:num w:numId="31">
    <w:abstractNumId w:val="12"/>
  </w:num>
  <w:num w:numId="32">
    <w:abstractNumId w:val="8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36C66"/>
    <w:rsid w:val="000416AB"/>
    <w:rsid w:val="00042A51"/>
    <w:rsid w:val="00046C95"/>
    <w:rsid w:val="0005059B"/>
    <w:rsid w:val="00064556"/>
    <w:rsid w:val="000647CD"/>
    <w:rsid w:val="00064B81"/>
    <w:rsid w:val="0007098A"/>
    <w:rsid w:val="000817D8"/>
    <w:rsid w:val="00081B07"/>
    <w:rsid w:val="00083111"/>
    <w:rsid w:val="000907C2"/>
    <w:rsid w:val="00092CCC"/>
    <w:rsid w:val="000932D0"/>
    <w:rsid w:val="00096301"/>
    <w:rsid w:val="000A19AF"/>
    <w:rsid w:val="000A6F82"/>
    <w:rsid w:val="000A7D6F"/>
    <w:rsid w:val="000B07B4"/>
    <w:rsid w:val="000B08E6"/>
    <w:rsid w:val="000B136B"/>
    <w:rsid w:val="000B6BB8"/>
    <w:rsid w:val="000B707D"/>
    <w:rsid w:val="000B740D"/>
    <w:rsid w:val="000C010E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265E"/>
    <w:rsid w:val="000F54A5"/>
    <w:rsid w:val="000F5C8F"/>
    <w:rsid w:val="000F5D33"/>
    <w:rsid w:val="000F75A2"/>
    <w:rsid w:val="00101C66"/>
    <w:rsid w:val="001034F4"/>
    <w:rsid w:val="00105B16"/>
    <w:rsid w:val="00106980"/>
    <w:rsid w:val="00107F33"/>
    <w:rsid w:val="00111BBD"/>
    <w:rsid w:val="001123FE"/>
    <w:rsid w:val="0011311E"/>
    <w:rsid w:val="00114D41"/>
    <w:rsid w:val="00115CC2"/>
    <w:rsid w:val="00121041"/>
    <w:rsid w:val="001223F5"/>
    <w:rsid w:val="001310B5"/>
    <w:rsid w:val="001317E3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53E0"/>
    <w:rsid w:val="00165E0E"/>
    <w:rsid w:val="00165E21"/>
    <w:rsid w:val="001679CF"/>
    <w:rsid w:val="00167EDA"/>
    <w:rsid w:val="00174426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D22"/>
    <w:rsid w:val="001B3EFB"/>
    <w:rsid w:val="001B55BB"/>
    <w:rsid w:val="001B60D8"/>
    <w:rsid w:val="001B76B0"/>
    <w:rsid w:val="001C4BDA"/>
    <w:rsid w:val="001C5D03"/>
    <w:rsid w:val="001D1043"/>
    <w:rsid w:val="001D2CEA"/>
    <w:rsid w:val="001D373F"/>
    <w:rsid w:val="001D3BDA"/>
    <w:rsid w:val="001E2CB6"/>
    <w:rsid w:val="001E6CE0"/>
    <w:rsid w:val="001F0ACD"/>
    <w:rsid w:val="001F0CCA"/>
    <w:rsid w:val="001F34AF"/>
    <w:rsid w:val="001F5F0A"/>
    <w:rsid w:val="002015BF"/>
    <w:rsid w:val="00212379"/>
    <w:rsid w:val="002159BB"/>
    <w:rsid w:val="00216DF9"/>
    <w:rsid w:val="00220B07"/>
    <w:rsid w:val="00220C61"/>
    <w:rsid w:val="00226F8E"/>
    <w:rsid w:val="00231A0F"/>
    <w:rsid w:val="0023231B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6B39"/>
    <w:rsid w:val="002572CB"/>
    <w:rsid w:val="00263DEE"/>
    <w:rsid w:val="00263EE6"/>
    <w:rsid w:val="00264F41"/>
    <w:rsid w:val="00265BF8"/>
    <w:rsid w:val="002667AF"/>
    <w:rsid w:val="00266FA9"/>
    <w:rsid w:val="002674CB"/>
    <w:rsid w:val="002702CF"/>
    <w:rsid w:val="0027177B"/>
    <w:rsid w:val="00272ECA"/>
    <w:rsid w:val="0027624E"/>
    <w:rsid w:val="002811B0"/>
    <w:rsid w:val="00281E7F"/>
    <w:rsid w:val="002833AB"/>
    <w:rsid w:val="00292A06"/>
    <w:rsid w:val="002943E6"/>
    <w:rsid w:val="00295312"/>
    <w:rsid w:val="002A2BEE"/>
    <w:rsid w:val="002A3DA1"/>
    <w:rsid w:val="002A4157"/>
    <w:rsid w:val="002A6F0A"/>
    <w:rsid w:val="002A7AEC"/>
    <w:rsid w:val="002B1544"/>
    <w:rsid w:val="002B6A0B"/>
    <w:rsid w:val="002C1ED5"/>
    <w:rsid w:val="002C4903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1B00"/>
    <w:rsid w:val="003328CC"/>
    <w:rsid w:val="0033340F"/>
    <w:rsid w:val="00347122"/>
    <w:rsid w:val="00352BE9"/>
    <w:rsid w:val="00354148"/>
    <w:rsid w:val="003559CD"/>
    <w:rsid w:val="00356CB4"/>
    <w:rsid w:val="00364C10"/>
    <w:rsid w:val="00365A1B"/>
    <w:rsid w:val="003663CA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6507"/>
    <w:rsid w:val="003A0785"/>
    <w:rsid w:val="003A1BB8"/>
    <w:rsid w:val="003A31B3"/>
    <w:rsid w:val="003A3C3E"/>
    <w:rsid w:val="003B0E2F"/>
    <w:rsid w:val="003B13C9"/>
    <w:rsid w:val="003B1D2C"/>
    <w:rsid w:val="003C0775"/>
    <w:rsid w:val="003C186E"/>
    <w:rsid w:val="003C3020"/>
    <w:rsid w:val="003C7881"/>
    <w:rsid w:val="003D02C5"/>
    <w:rsid w:val="003D2A52"/>
    <w:rsid w:val="003D3A6A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697A"/>
    <w:rsid w:val="00472350"/>
    <w:rsid w:val="0048132B"/>
    <w:rsid w:val="0048484F"/>
    <w:rsid w:val="00484D40"/>
    <w:rsid w:val="004878F0"/>
    <w:rsid w:val="00490E05"/>
    <w:rsid w:val="00492B89"/>
    <w:rsid w:val="00492C69"/>
    <w:rsid w:val="0049363E"/>
    <w:rsid w:val="00497AF2"/>
    <w:rsid w:val="004A09B8"/>
    <w:rsid w:val="004A4015"/>
    <w:rsid w:val="004A7564"/>
    <w:rsid w:val="004A7B16"/>
    <w:rsid w:val="004A7ED3"/>
    <w:rsid w:val="004B0CBF"/>
    <w:rsid w:val="004B12F0"/>
    <w:rsid w:val="004B2D8C"/>
    <w:rsid w:val="004B4196"/>
    <w:rsid w:val="004B7EEA"/>
    <w:rsid w:val="004C1D1B"/>
    <w:rsid w:val="004C2960"/>
    <w:rsid w:val="004C39ED"/>
    <w:rsid w:val="004C4E31"/>
    <w:rsid w:val="004C65F2"/>
    <w:rsid w:val="004C71CB"/>
    <w:rsid w:val="004D311C"/>
    <w:rsid w:val="004D456F"/>
    <w:rsid w:val="004D57DD"/>
    <w:rsid w:val="004D77BB"/>
    <w:rsid w:val="004E4D60"/>
    <w:rsid w:val="004E5688"/>
    <w:rsid w:val="004F0195"/>
    <w:rsid w:val="004F0C94"/>
    <w:rsid w:val="004F2684"/>
    <w:rsid w:val="00500AF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3B39"/>
    <w:rsid w:val="0053553C"/>
    <w:rsid w:val="005462B9"/>
    <w:rsid w:val="005524AD"/>
    <w:rsid w:val="00553A60"/>
    <w:rsid w:val="00560345"/>
    <w:rsid w:val="005643BB"/>
    <w:rsid w:val="00570218"/>
    <w:rsid w:val="00570F07"/>
    <w:rsid w:val="00571300"/>
    <w:rsid w:val="0057620E"/>
    <w:rsid w:val="00577D07"/>
    <w:rsid w:val="00581A83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365A"/>
    <w:rsid w:val="005C5E7C"/>
    <w:rsid w:val="005D022F"/>
    <w:rsid w:val="005D24DC"/>
    <w:rsid w:val="005D24F3"/>
    <w:rsid w:val="005D2DDC"/>
    <w:rsid w:val="005D7A7F"/>
    <w:rsid w:val="005E14E6"/>
    <w:rsid w:val="005E2323"/>
    <w:rsid w:val="005E5988"/>
    <w:rsid w:val="005E75BF"/>
    <w:rsid w:val="005F0196"/>
    <w:rsid w:val="005F218E"/>
    <w:rsid w:val="005F228B"/>
    <w:rsid w:val="005F29B9"/>
    <w:rsid w:val="005F621C"/>
    <w:rsid w:val="00601EE7"/>
    <w:rsid w:val="006024F6"/>
    <w:rsid w:val="00605FCD"/>
    <w:rsid w:val="006072A7"/>
    <w:rsid w:val="006103AF"/>
    <w:rsid w:val="0061095D"/>
    <w:rsid w:val="00615A5E"/>
    <w:rsid w:val="00620A73"/>
    <w:rsid w:val="00635BBD"/>
    <w:rsid w:val="0063601C"/>
    <w:rsid w:val="006360E0"/>
    <w:rsid w:val="0063646C"/>
    <w:rsid w:val="00637B92"/>
    <w:rsid w:val="00640450"/>
    <w:rsid w:val="00640AA7"/>
    <w:rsid w:val="006449B3"/>
    <w:rsid w:val="00664407"/>
    <w:rsid w:val="0066523F"/>
    <w:rsid w:val="00666177"/>
    <w:rsid w:val="00670081"/>
    <w:rsid w:val="00670134"/>
    <w:rsid w:val="006728E6"/>
    <w:rsid w:val="00682AF4"/>
    <w:rsid w:val="006838FD"/>
    <w:rsid w:val="006849A3"/>
    <w:rsid w:val="006956C5"/>
    <w:rsid w:val="00697038"/>
    <w:rsid w:val="00697AE4"/>
    <w:rsid w:val="006A0705"/>
    <w:rsid w:val="006A3BD2"/>
    <w:rsid w:val="006A4181"/>
    <w:rsid w:val="006A588C"/>
    <w:rsid w:val="006A63B3"/>
    <w:rsid w:val="006A758F"/>
    <w:rsid w:val="006B0425"/>
    <w:rsid w:val="006B510B"/>
    <w:rsid w:val="006C1378"/>
    <w:rsid w:val="006C34C7"/>
    <w:rsid w:val="006C5998"/>
    <w:rsid w:val="006D1DB5"/>
    <w:rsid w:val="006D28E2"/>
    <w:rsid w:val="006D32A9"/>
    <w:rsid w:val="006D445F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700CE3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35E"/>
    <w:rsid w:val="007265BE"/>
    <w:rsid w:val="00727685"/>
    <w:rsid w:val="00730E78"/>
    <w:rsid w:val="007318ED"/>
    <w:rsid w:val="00731EC5"/>
    <w:rsid w:val="007338EE"/>
    <w:rsid w:val="00734032"/>
    <w:rsid w:val="007363C9"/>
    <w:rsid w:val="00741001"/>
    <w:rsid w:val="007424F5"/>
    <w:rsid w:val="007438F6"/>
    <w:rsid w:val="00743B44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3CC6"/>
    <w:rsid w:val="00763D63"/>
    <w:rsid w:val="00764763"/>
    <w:rsid w:val="0076606D"/>
    <w:rsid w:val="00766545"/>
    <w:rsid w:val="00766CF3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185B"/>
    <w:rsid w:val="00792A44"/>
    <w:rsid w:val="007943A3"/>
    <w:rsid w:val="0079446C"/>
    <w:rsid w:val="00794C60"/>
    <w:rsid w:val="007957DF"/>
    <w:rsid w:val="00797911"/>
    <w:rsid w:val="007A2202"/>
    <w:rsid w:val="007A272D"/>
    <w:rsid w:val="007A4414"/>
    <w:rsid w:val="007A5AE8"/>
    <w:rsid w:val="007A5AF6"/>
    <w:rsid w:val="007B05D3"/>
    <w:rsid w:val="007B2F97"/>
    <w:rsid w:val="007B6698"/>
    <w:rsid w:val="007B7751"/>
    <w:rsid w:val="007C0B10"/>
    <w:rsid w:val="007C274A"/>
    <w:rsid w:val="007C51E2"/>
    <w:rsid w:val="007D0324"/>
    <w:rsid w:val="007D356E"/>
    <w:rsid w:val="007D50BE"/>
    <w:rsid w:val="007D6BB6"/>
    <w:rsid w:val="007E0284"/>
    <w:rsid w:val="007E1163"/>
    <w:rsid w:val="007E354A"/>
    <w:rsid w:val="007E3A07"/>
    <w:rsid w:val="007E6A4B"/>
    <w:rsid w:val="007E7760"/>
    <w:rsid w:val="007F6AAD"/>
    <w:rsid w:val="00803349"/>
    <w:rsid w:val="00804866"/>
    <w:rsid w:val="008048B1"/>
    <w:rsid w:val="00806308"/>
    <w:rsid w:val="008063F9"/>
    <w:rsid w:val="00806FBC"/>
    <w:rsid w:val="0080739D"/>
    <w:rsid w:val="00807826"/>
    <w:rsid w:val="00807FF5"/>
    <w:rsid w:val="008107E0"/>
    <w:rsid w:val="00811CD4"/>
    <w:rsid w:val="00812289"/>
    <w:rsid w:val="0081243E"/>
    <w:rsid w:val="00812594"/>
    <w:rsid w:val="00813C1A"/>
    <w:rsid w:val="008143F9"/>
    <w:rsid w:val="00814EA0"/>
    <w:rsid w:val="0081793B"/>
    <w:rsid w:val="0082015F"/>
    <w:rsid w:val="00821AFD"/>
    <w:rsid w:val="00822C62"/>
    <w:rsid w:val="00823694"/>
    <w:rsid w:val="008258BD"/>
    <w:rsid w:val="0082631F"/>
    <w:rsid w:val="008276BF"/>
    <w:rsid w:val="0083482D"/>
    <w:rsid w:val="00834E88"/>
    <w:rsid w:val="00835412"/>
    <w:rsid w:val="008359DC"/>
    <w:rsid w:val="00836959"/>
    <w:rsid w:val="008378CC"/>
    <w:rsid w:val="00842D31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7553"/>
    <w:rsid w:val="008943E1"/>
    <w:rsid w:val="00895A0E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C7B20"/>
    <w:rsid w:val="008D210E"/>
    <w:rsid w:val="008D2581"/>
    <w:rsid w:val="008D52D8"/>
    <w:rsid w:val="008D6AB7"/>
    <w:rsid w:val="008D6B6C"/>
    <w:rsid w:val="008E28E5"/>
    <w:rsid w:val="008E7A2A"/>
    <w:rsid w:val="008F3B37"/>
    <w:rsid w:val="008F572B"/>
    <w:rsid w:val="008F7ABF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41D6"/>
    <w:rsid w:val="00935307"/>
    <w:rsid w:val="00935AC8"/>
    <w:rsid w:val="0094259F"/>
    <w:rsid w:val="009478D1"/>
    <w:rsid w:val="00951ACF"/>
    <w:rsid w:val="009528EC"/>
    <w:rsid w:val="00962692"/>
    <w:rsid w:val="00965336"/>
    <w:rsid w:val="009677B4"/>
    <w:rsid w:val="00970F8A"/>
    <w:rsid w:val="00971F2F"/>
    <w:rsid w:val="00985BD2"/>
    <w:rsid w:val="0099075E"/>
    <w:rsid w:val="00992F50"/>
    <w:rsid w:val="00993AEA"/>
    <w:rsid w:val="00994A2E"/>
    <w:rsid w:val="00994EED"/>
    <w:rsid w:val="009A0241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5A0D"/>
    <w:rsid w:val="009C6D43"/>
    <w:rsid w:val="009C6DAA"/>
    <w:rsid w:val="009C7F83"/>
    <w:rsid w:val="009D3875"/>
    <w:rsid w:val="009D4811"/>
    <w:rsid w:val="009D49D0"/>
    <w:rsid w:val="009D620C"/>
    <w:rsid w:val="009F0A6B"/>
    <w:rsid w:val="009F7A52"/>
    <w:rsid w:val="00A0145C"/>
    <w:rsid w:val="00A0336A"/>
    <w:rsid w:val="00A03A7C"/>
    <w:rsid w:val="00A051F5"/>
    <w:rsid w:val="00A06B01"/>
    <w:rsid w:val="00A07E48"/>
    <w:rsid w:val="00A10689"/>
    <w:rsid w:val="00A11438"/>
    <w:rsid w:val="00A141DF"/>
    <w:rsid w:val="00A1648D"/>
    <w:rsid w:val="00A16767"/>
    <w:rsid w:val="00A22101"/>
    <w:rsid w:val="00A2428B"/>
    <w:rsid w:val="00A245D8"/>
    <w:rsid w:val="00A34BA4"/>
    <w:rsid w:val="00A370D2"/>
    <w:rsid w:val="00A42C15"/>
    <w:rsid w:val="00A43259"/>
    <w:rsid w:val="00A433BC"/>
    <w:rsid w:val="00A43EBA"/>
    <w:rsid w:val="00A51DAF"/>
    <w:rsid w:val="00A533D3"/>
    <w:rsid w:val="00A55121"/>
    <w:rsid w:val="00A71007"/>
    <w:rsid w:val="00A7201A"/>
    <w:rsid w:val="00A72DE6"/>
    <w:rsid w:val="00A73836"/>
    <w:rsid w:val="00A738E9"/>
    <w:rsid w:val="00A75FD9"/>
    <w:rsid w:val="00A76D0F"/>
    <w:rsid w:val="00A80302"/>
    <w:rsid w:val="00A816AA"/>
    <w:rsid w:val="00A91196"/>
    <w:rsid w:val="00AA1686"/>
    <w:rsid w:val="00AA628A"/>
    <w:rsid w:val="00AB5D29"/>
    <w:rsid w:val="00AB72E7"/>
    <w:rsid w:val="00AB7697"/>
    <w:rsid w:val="00AC14F3"/>
    <w:rsid w:val="00AC320B"/>
    <w:rsid w:val="00AC405E"/>
    <w:rsid w:val="00AC4DC3"/>
    <w:rsid w:val="00AD030C"/>
    <w:rsid w:val="00AD13E6"/>
    <w:rsid w:val="00AD25C9"/>
    <w:rsid w:val="00AD299E"/>
    <w:rsid w:val="00AE1E7F"/>
    <w:rsid w:val="00AE247F"/>
    <w:rsid w:val="00AE2730"/>
    <w:rsid w:val="00AF140D"/>
    <w:rsid w:val="00AF4225"/>
    <w:rsid w:val="00AF468C"/>
    <w:rsid w:val="00AF597A"/>
    <w:rsid w:val="00AF62C8"/>
    <w:rsid w:val="00B023FE"/>
    <w:rsid w:val="00B04601"/>
    <w:rsid w:val="00B04673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87C"/>
    <w:rsid w:val="00B525CD"/>
    <w:rsid w:val="00B52D71"/>
    <w:rsid w:val="00B542C2"/>
    <w:rsid w:val="00B55BD9"/>
    <w:rsid w:val="00B55E89"/>
    <w:rsid w:val="00B66076"/>
    <w:rsid w:val="00B71A0D"/>
    <w:rsid w:val="00B721E4"/>
    <w:rsid w:val="00B72A22"/>
    <w:rsid w:val="00B735D6"/>
    <w:rsid w:val="00B74FEA"/>
    <w:rsid w:val="00B77E6C"/>
    <w:rsid w:val="00B8075F"/>
    <w:rsid w:val="00B807AB"/>
    <w:rsid w:val="00B87366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057F"/>
    <w:rsid w:val="00BC66F7"/>
    <w:rsid w:val="00BD11FA"/>
    <w:rsid w:val="00BD1489"/>
    <w:rsid w:val="00BD53E5"/>
    <w:rsid w:val="00BD6A6F"/>
    <w:rsid w:val="00BE36CB"/>
    <w:rsid w:val="00BE3FA2"/>
    <w:rsid w:val="00BF1D14"/>
    <w:rsid w:val="00C045A3"/>
    <w:rsid w:val="00C0717E"/>
    <w:rsid w:val="00C07C0B"/>
    <w:rsid w:val="00C14DC1"/>
    <w:rsid w:val="00C23111"/>
    <w:rsid w:val="00C23766"/>
    <w:rsid w:val="00C24874"/>
    <w:rsid w:val="00C248E2"/>
    <w:rsid w:val="00C25467"/>
    <w:rsid w:val="00C379B6"/>
    <w:rsid w:val="00C41847"/>
    <w:rsid w:val="00C4286D"/>
    <w:rsid w:val="00C42DF2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677FA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1D9C"/>
    <w:rsid w:val="00CB29B1"/>
    <w:rsid w:val="00CB35AE"/>
    <w:rsid w:val="00CB7556"/>
    <w:rsid w:val="00CC220B"/>
    <w:rsid w:val="00CC458B"/>
    <w:rsid w:val="00CC469D"/>
    <w:rsid w:val="00CC523E"/>
    <w:rsid w:val="00CC65E4"/>
    <w:rsid w:val="00CD4526"/>
    <w:rsid w:val="00CD463E"/>
    <w:rsid w:val="00CD60A2"/>
    <w:rsid w:val="00CD6AC8"/>
    <w:rsid w:val="00CE3B6C"/>
    <w:rsid w:val="00CF0794"/>
    <w:rsid w:val="00CF2D93"/>
    <w:rsid w:val="00CF348A"/>
    <w:rsid w:val="00CF517D"/>
    <w:rsid w:val="00CF6FAC"/>
    <w:rsid w:val="00CF7D89"/>
    <w:rsid w:val="00D007BB"/>
    <w:rsid w:val="00D0624A"/>
    <w:rsid w:val="00D106C6"/>
    <w:rsid w:val="00D106DA"/>
    <w:rsid w:val="00D111D2"/>
    <w:rsid w:val="00D12672"/>
    <w:rsid w:val="00D1363E"/>
    <w:rsid w:val="00D13703"/>
    <w:rsid w:val="00D13801"/>
    <w:rsid w:val="00D13F4F"/>
    <w:rsid w:val="00D1629F"/>
    <w:rsid w:val="00D23F1A"/>
    <w:rsid w:val="00D26F46"/>
    <w:rsid w:val="00D27476"/>
    <w:rsid w:val="00D320A9"/>
    <w:rsid w:val="00D34423"/>
    <w:rsid w:val="00D35CEC"/>
    <w:rsid w:val="00D375F9"/>
    <w:rsid w:val="00D42929"/>
    <w:rsid w:val="00D42F81"/>
    <w:rsid w:val="00D43B35"/>
    <w:rsid w:val="00D45799"/>
    <w:rsid w:val="00D46B40"/>
    <w:rsid w:val="00D52B08"/>
    <w:rsid w:val="00D53111"/>
    <w:rsid w:val="00D61E28"/>
    <w:rsid w:val="00D6226A"/>
    <w:rsid w:val="00D652AA"/>
    <w:rsid w:val="00D667F9"/>
    <w:rsid w:val="00D676CC"/>
    <w:rsid w:val="00D73BC7"/>
    <w:rsid w:val="00D75D50"/>
    <w:rsid w:val="00D829B0"/>
    <w:rsid w:val="00D86A17"/>
    <w:rsid w:val="00D912DB"/>
    <w:rsid w:val="00D92838"/>
    <w:rsid w:val="00D928D2"/>
    <w:rsid w:val="00D9374A"/>
    <w:rsid w:val="00D94C4A"/>
    <w:rsid w:val="00DA387C"/>
    <w:rsid w:val="00DA4EBA"/>
    <w:rsid w:val="00DA720F"/>
    <w:rsid w:val="00DA7998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1E43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2CC"/>
    <w:rsid w:val="00E3038D"/>
    <w:rsid w:val="00E30592"/>
    <w:rsid w:val="00E343BF"/>
    <w:rsid w:val="00E34AFC"/>
    <w:rsid w:val="00E40644"/>
    <w:rsid w:val="00E40C01"/>
    <w:rsid w:val="00E45BC2"/>
    <w:rsid w:val="00E5033A"/>
    <w:rsid w:val="00E5057E"/>
    <w:rsid w:val="00E50F32"/>
    <w:rsid w:val="00E510C0"/>
    <w:rsid w:val="00E552D0"/>
    <w:rsid w:val="00E55895"/>
    <w:rsid w:val="00E55FEF"/>
    <w:rsid w:val="00E56455"/>
    <w:rsid w:val="00E568C6"/>
    <w:rsid w:val="00E5783B"/>
    <w:rsid w:val="00E61671"/>
    <w:rsid w:val="00E61FB1"/>
    <w:rsid w:val="00E62E6A"/>
    <w:rsid w:val="00E63827"/>
    <w:rsid w:val="00E63C65"/>
    <w:rsid w:val="00E64521"/>
    <w:rsid w:val="00E6485F"/>
    <w:rsid w:val="00E71F2E"/>
    <w:rsid w:val="00E83518"/>
    <w:rsid w:val="00E84B4C"/>
    <w:rsid w:val="00E85363"/>
    <w:rsid w:val="00E87B5F"/>
    <w:rsid w:val="00E91132"/>
    <w:rsid w:val="00E93A4C"/>
    <w:rsid w:val="00E95598"/>
    <w:rsid w:val="00E96F2A"/>
    <w:rsid w:val="00EA1166"/>
    <w:rsid w:val="00EA270F"/>
    <w:rsid w:val="00EA3365"/>
    <w:rsid w:val="00EA43D6"/>
    <w:rsid w:val="00EA7352"/>
    <w:rsid w:val="00EA743C"/>
    <w:rsid w:val="00EB14EF"/>
    <w:rsid w:val="00EC1CAC"/>
    <w:rsid w:val="00EC1F5D"/>
    <w:rsid w:val="00ED12B8"/>
    <w:rsid w:val="00ED166E"/>
    <w:rsid w:val="00ED2746"/>
    <w:rsid w:val="00ED2E6B"/>
    <w:rsid w:val="00EE2DFE"/>
    <w:rsid w:val="00EE4A0A"/>
    <w:rsid w:val="00EE67B8"/>
    <w:rsid w:val="00EE6D43"/>
    <w:rsid w:val="00EF5B52"/>
    <w:rsid w:val="00F0524C"/>
    <w:rsid w:val="00F05C36"/>
    <w:rsid w:val="00F10277"/>
    <w:rsid w:val="00F10A51"/>
    <w:rsid w:val="00F121A0"/>
    <w:rsid w:val="00F1705F"/>
    <w:rsid w:val="00F20B32"/>
    <w:rsid w:val="00F219D3"/>
    <w:rsid w:val="00F22F6A"/>
    <w:rsid w:val="00F2446A"/>
    <w:rsid w:val="00F26207"/>
    <w:rsid w:val="00F2637E"/>
    <w:rsid w:val="00F27E7C"/>
    <w:rsid w:val="00F322CB"/>
    <w:rsid w:val="00F37E95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42D8"/>
    <w:rsid w:val="00F74D32"/>
    <w:rsid w:val="00F75B66"/>
    <w:rsid w:val="00F76921"/>
    <w:rsid w:val="00F81C64"/>
    <w:rsid w:val="00F822BB"/>
    <w:rsid w:val="00F84AB7"/>
    <w:rsid w:val="00F87BCE"/>
    <w:rsid w:val="00F9098E"/>
    <w:rsid w:val="00F91196"/>
    <w:rsid w:val="00F93C41"/>
    <w:rsid w:val="00F95B8A"/>
    <w:rsid w:val="00FA086C"/>
    <w:rsid w:val="00FB226C"/>
    <w:rsid w:val="00FB5865"/>
    <w:rsid w:val="00FB58B5"/>
    <w:rsid w:val="00FB6755"/>
    <w:rsid w:val="00FB7556"/>
    <w:rsid w:val="00FC19A2"/>
    <w:rsid w:val="00FC1F3E"/>
    <w:rsid w:val="00FC5184"/>
    <w:rsid w:val="00FD1F73"/>
    <w:rsid w:val="00FD2D68"/>
    <w:rsid w:val="00FD300D"/>
    <w:rsid w:val="00FE30A8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65A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5C365A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5C365A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5C365A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5C365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365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365A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5C365A"/>
  </w:style>
  <w:style w:type="paragraph" w:styleId="HTMLPreformatted">
    <w:name w:val="HTML Preformatted"/>
    <w:basedOn w:val="Normal"/>
    <w:link w:val="HTMLPreformattedChar"/>
    <w:rsid w:val="005C36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5C365A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EA3365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EA3365"/>
    <w:rPr>
      <w:b/>
      <w:bCs/>
    </w:rPr>
  </w:style>
  <w:style w:type="paragraph" w:customStyle="1" w:styleId="Figure1">
    <w:name w:val="Figure1"/>
    <w:basedOn w:val="Normal"/>
    <w:rsid w:val="00EA3365"/>
    <w:pPr>
      <w:spacing w:after="120"/>
      <w:jc w:val="center"/>
    </w:pPr>
  </w:style>
  <w:style w:type="paragraph" w:customStyle="1" w:styleId="Equation1">
    <w:name w:val="Equation1"/>
    <w:basedOn w:val="Normal"/>
    <w:autoRedefine/>
    <w:rsid w:val="00EA3365"/>
    <w:pPr>
      <w:spacing w:after="120"/>
      <w:ind w:left="567"/>
    </w:pPr>
  </w:style>
  <w:style w:type="paragraph" w:styleId="FootnoteText">
    <w:name w:val="footnote text"/>
    <w:basedOn w:val="Normal"/>
    <w:link w:val="FootnoteTextChar"/>
    <w:unhideWhenUsed/>
    <w:rsid w:val="00EA3365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EA3365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basedOn w:val="DefaultParagraphFont"/>
    <w:unhideWhenUsed/>
    <w:rsid w:val="00EA336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16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166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6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7.bin"/><Relationship Id="rId39" Type="http://schemas.openxmlformats.org/officeDocument/2006/relationships/image" Target="media/image19.wmf"/><Relationship Id="rId21" Type="http://schemas.openxmlformats.org/officeDocument/2006/relationships/image" Target="media/image11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3.wmf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4.bin"/><Relationship Id="rId76" Type="http://schemas.openxmlformats.org/officeDocument/2006/relationships/image" Target="media/image32.wmf"/><Relationship Id="rId84" Type="http://schemas.openxmlformats.org/officeDocument/2006/relationships/oleObject" Target="embeddings/oleObject43.bin"/><Relationship Id="rId89" Type="http://schemas.openxmlformats.org/officeDocument/2006/relationships/image" Target="media/image37.jpeg"/><Relationship Id="rId7" Type="http://schemas.openxmlformats.org/officeDocument/2006/relationships/image" Target="media/image1.jpeg"/><Relationship Id="rId71" Type="http://schemas.openxmlformats.org/officeDocument/2006/relationships/image" Target="media/image30.wmf"/><Relationship Id="rId9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5.wmf"/><Relationship Id="rId11" Type="http://schemas.openxmlformats.org/officeDocument/2006/relationships/image" Target="media/image5.wm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20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37.bin"/><Relationship Id="rId79" Type="http://schemas.openxmlformats.org/officeDocument/2006/relationships/image" Target="media/image33.wmf"/><Relationship Id="rId87" Type="http://schemas.openxmlformats.org/officeDocument/2006/relationships/oleObject" Target="embeddings/oleObject45.bin"/><Relationship Id="rId5" Type="http://schemas.openxmlformats.org/officeDocument/2006/relationships/footnotes" Target="footnotes.xml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2.bin"/><Relationship Id="rId90" Type="http://schemas.openxmlformats.org/officeDocument/2006/relationships/header" Target="header1.xml"/><Relationship Id="rId19" Type="http://schemas.openxmlformats.org/officeDocument/2006/relationships/image" Target="media/image9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oleObject" Target="embeddings/oleObject9.bin"/><Relationship Id="rId35" Type="http://schemas.openxmlformats.org/officeDocument/2006/relationships/image" Target="media/image18.wmf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image" Target="media/image27.wmf"/><Relationship Id="rId69" Type="http://schemas.openxmlformats.org/officeDocument/2006/relationships/image" Target="media/image29.wmf"/><Relationship Id="rId77" Type="http://schemas.openxmlformats.org/officeDocument/2006/relationships/oleObject" Target="embeddings/oleObject39.bin"/><Relationship Id="rId8" Type="http://schemas.openxmlformats.org/officeDocument/2006/relationships/image" Target="media/image2.jpeg"/><Relationship Id="rId51" Type="http://schemas.openxmlformats.org/officeDocument/2006/relationships/image" Target="media/image21.wmf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1.bin"/><Relationship Id="rId85" Type="http://schemas.openxmlformats.org/officeDocument/2006/relationships/image" Target="media/image36.wmf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wmf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9.bin"/><Relationship Id="rId67" Type="http://schemas.openxmlformats.org/officeDocument/2006/relationships/image" Target="media/image28.wmf"/><Relationship Id="rId20" Type="http://schemas.openxmlformats.org/officeDocument/2006/relationships/image" Target="media/image10.jpeg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6.bin"/><Relationship Id="rId62" Type="http://schemas.openxmlformats.org/officeDocument/2006/relationships/image" Target="media/image26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8.bin"/><Relationship Id="rId83" Type="http://schemas.openxmlformats.org/officeDocument/2006/relationships/image" Target="media/image35.wmf"/><Relationship Id="rId88" Type="http://schemas.openxmlformats.org/officeDocument/2006/relationships/oleObject" Target="embeddings/oleObject46.bin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" Type="http://schemas.openxmlformats.org/officeDocument/2006/relationships/image" Target="media/image4.jpeg"/><Relationship Id="rId31" Type="http://schemas.openxmlformats.org/officeDocument/2006/relationships/image" Target="media/image16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5.wmf"/><Relationship Id="rId65" Type="http://schemas.openxmlformats.org/officeDocument/2006/relationships/oleObject" Target="embeddings/oleObject32.bin"/><Relationship Id="rId73" Type="http://schemas.openxmlformats.org/officeDocument/2006/relationships/image" Target="media/image31.wmf"/><Relationship Id="rId78" Type="http://schemas.openxmlformats.org/officeDocument/2006/relationships/oleObject" Target="embeddings/oleObject40.bin"/><Relationship Id="rId81" Type="http://schemas.openxmlformats.org/officeDocument/2006/relationships/image" Target="media/image34.wmf"/><Relationship Id="rId86" Type="http://schemas.openxmlformats.org/officeDocument/2006/relationships/oleObject" Target="embeddings/oleObject44.bin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1</TotalTime>
  <Pages>12</Pages>
  <Words>2824</Words>
  <Characters>16100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18887</CharactersWithSpaces>
  <SharedDoc>false</SharedDoc>
  <HLinks>
    <vt:vector size="36" baseType="variant"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_Toc284064845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_Toc284064844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_Toc284064843</vt:lpwstr>
      </vt:variant>
      <vt:variant>
        <vt:i4>2031672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_Toc284064842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_Toc284064841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_Toc284064840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4</cp:revision>
  <cp:lastPrinted>1601-01-01T00:00:00Z</cp:lastPrinted>
  <dcterms:created xsi:type="dcterms:W3CDTF">2016-09-25T19:49:00Z</dcterms:created>
  <dcterms:modified xsi:type="dcterms:W3CDTF">2017-09-14T20:29:00Z</dcterms:modified>
</cp:coreProperties>
</file>